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19A" w:rsidRPr="00A51F88" w:rsidRDefault="0042719A" w:rsidP="0042719A">
      <w:pPr>
        <w:tabs>
          <w:tab w:val="left" w:pos="0"/>
        </w:tabs>
        <w:autoSpaceDE w:val="0"/>
        <w:autoSpaceDN w:val="0"/>
        <w:adjustRightInd w:val="0"/>
        <w:spacing w:line="240" w:lineRule="auto"/>
        <w:jc w:val="center"/>
        <w:rPr>
          <w:rFonts w:eastAsia="Times New Roman" w:cs="Times New Roman"/>
          <w:b/>
          <w:bCs/>
        </w:rPr>
      </w:pPr>
      <w:r w:rsidRPr="00A51F88">
        <w:rPr>
          <w:rFonts w:eastAsia="Times New Roman" w:cs="Times New Roman"/>
          <w:b/>
          <w:bCs/>
        </w:rPr>
        <w:t>Pakuotės lapelis: informacija vartotojui</w:t>
      </w:r>
    </w:p>
    <w:p w:rsidR="0042719A" w:rsidRPr="00A51F88" w:rsidRDefault="0042719A" w:rsidP="0042719A">
      <w:pPr>
        <w:tabs>
          <w:tab w:val="left" w:pos="0"/>
        </w:tabs>
        <w:autoSpaceDE w:val="0"/>
        <w:autoSpaceDN w:val="0"/>
        <w:adjustRightInd w:val="0"/>
        <w:spacing w:line="240" w:lineRule="auto"/>
        <w:jc w:val="center"/>
        <w:rPr>
          <w:rFonts w:eastAsia="Times New Roman" w:cs="Times New Roman"/>
          <w:bCs/>
        </w:rPr>
      </w:pPr>
    </w:p>
    <w:p w:rsidR="0042719A" w:rsidRPr="00A51F88" w:rsidRDefault="0042719A" w:rsidP="0042719A">
      <w:pPr>
        <w:autoSpaceDE w:val="0"/>
        <w:autoSpaceDN w:val="0"/>
        <w:adjustRightInd w:val="0"/>
        <w:spacing w:line="240" w:lineRule="auto"/>
        <w:jc w:val="center"/>
        <w:rPr>
          <w:rFonts w:eastAsia="Times New Roman" w:cs="Times New Roman"/>
          <w:color w:val="000000"/>
        </w:rPr>
      </w:pPr>
      <w:r w:rsidRPr="00A51F88">
        <w:rPr>
          <w:rFonts w:eastAsia="Times New Roman" w:cs="Times New Roman"/>
          <w:b/>
          <w:bCs/>
          <w:color w:val="000000"/>
        </w:rPr>
        <w:t>Daikol</w:t>
      </w:r>
      <w:r w:rsidRPr="00A51F88">
        <w:rPr>
          <w:rFonts w:eastAsia="Times New Roman" w:cs="Times New Roman"/>
          <w:b/>
          <w:bCs/>
          <w:i/>
          <w:iCs/>
          <w:color w:val="000000"/>
        </w:rPr>
        <w:t xml:space="preserve"> </w:t>
      </w:r>
      <w:r w:rsidRPr="00A51F88">
        <w:rPr>
          <w:rFonts w:eastAsia="Times New Roman" w:cs="Times New Roman"/>
          <w:b/>
          <w:bCs/>
          <w:color w:val="000000"/>
        </w:rPr>
        <w:t>200 mg/30 mg plėvele dengtos tabletės</w:t>
      </w:r>
    </w:p>
    <w:p w:rsidR="0042719A" w:rsidRPr="00A51F88" w:rsidRDefault="0042719A" w:rsidP="0042719A">
      <w:pPr>
        <w:spacing w:line="240" w:lineRule="auto"/>
        <w:jc w:val="center"/>
        <w:rPr>
          <w:rFonts w:eastAsia="Times New Roman" w:cs="Times New Roman"/>
        </w:rPr>
      </w:pPr>
      <w:r w:rsidRPr="00A51F88">
        <w:rPr>
          <w:rFonts w:eastAsia="Times New Roman" w:cs="Times New Roman"/>
        </w:rPr>
        <w:t>ibuprofenas / pseudoefedrino hidrochloridas</w:t>
      </w:r>
    </w:p>
    <w:p w:rsidR="0042719A" w:rsidRPr="00A51F88" w:rsidRDefault="0042719A" w:rsidP="0042719A">
      <w:pPr>
        <w:spacing w:line="240" w:lineRule="auto"/>
        <w:jc w:val="center"/>
        <w:rPr>
          <w:rFonts w:eastAsia="Times New Roman" w:cs="Times New Roman"/>
        </w:rPr>
      </w:pPr>
    </w:p>
    <w:p w:rsidR="0042719A" w:rsidRPr="00A51F88" w:rsidRDefault="0042719A" w:rsidP="0042719A">
      <w:pPr>
        <w:suppressAutoHyphens/>
        <w:spacing w:line="240" w:lineRule="auto"/>
        <w:jc w:val="both"/>
        <w:rPr>
          <w:rFonts w:eastAsia="Times New Roman" w:cs="Times New Roman"/>
          <w:b/>
        </w:rPr>
      </w:pPr>
      <w:r w:rsidRPr="00A51F88">
        <w:rPr>
          <w:rFonts w:eastAsia="Times New Roman" w:cs="Times New Roman"/>
          <w:b/>
        </w:rPr>
        <w:t>Atidžiai perskaitykite visą šį lapelį, prieš pradėdami vartoti vaistą, nes jame pateikiama Jums svarbi informacija.</w:t>
      </w:r>
    </w:p>
    <w:p w:rsidR="0042719A" w:rsidRPr="00A51F88" w:rsidRDefault="0042719A" w:rsidP="0042719A">
      <w:pPr>
        <w:suppressAutoHyphens/>
        <w:spacing w:line="240" w:lineRule="auto"/>
        <w:jc w:val="both"/>
        <w:rPr>
          <w:rFonts w:eastAsia="Times New Roman" w:cs="Times New Roman"/>
        </w:rPr>
      </w:pPr>
      <w:r w:rsidRPr="00A51F88">
        <w:rPr>
          <w:rFonts w:eastAsia="Times New Roman" w:cs="Times New Roman"/>
        </w:rPr>
        <w:t>Visada vartokite šį vaistą tiksliai kaip aprašyta šiame lapelyje arba kaip nurodė gydytojas arba vaistininkas.</w:t>
      </w:r>
    </w:p>
    <w:p w:rsidR="0042719A" w:rsidRPr="00A51F88" w:rsidRDefault="0042719A" w:rsidP="0042719A">
      <w:pPr>
        <w:numPr>
          <w:ilvl w:val="0"/>
          <w:numId w:val="4"/>
        </w:numPr>
        <w:spacing w:after="0" w:line="240" w:lineRule="auto"/>
        <w:ind w:left="567" w:hanging="567"/>
        <w:contextualSpacing/>
        <w:rPr>
          <w:rFonts w:eastAsia="Times New Roman" w:cs="Times New Roman"/>
          <w:lang w:eastAsia="ro-RO"/>
        </w:rPr>
      </w:pPr>
      <w:r w:rsidRPr="00A51F88">
        <w:rPr>
          <w:rFonts w:eastAsia="Times New Roman" w:cs="Times New Roman"/>
          <w:lang w:eastAsia="ro-RO"/>
        </w:rPr>
        <w:t>Neišmeskite šio lapelio, nes vėl gali prireikti jį perskaityti.</w:t>
      </w:r>
    </w:p>
    <w:p w:rsidR="0042719A" w:rsidRPr="00A51F88" w:rsidRDefault="0042719A" w:rsidP="0042719A">
      <w:pPr>
        <w:numPr>
          <w:ilvl w:val="0"/>
          <w:numId w:val="4"/>
        </w:numPr>
        <w:spacing w:after="0" w:line="240" w:lineRule="auto"/>
        <w:ind w:left="567" w:right="-2" w:hanging="567"/>
        <w:contextualSpacing/>
        <w:jc w:val="both"/>
        <w:rPr>
          <w:rFonts w:eastAsia="Times New Roman" w:cs="Times New Roman"/>
          <w:lang w:eastAsia="ro-RO"/>
        </w:rPr>
      </w:pPr>
      <w:r w:rsidRPr="00A51F88">
        <w:rPr>
          <w:rFonts w:eastAsia="Times New Roman" w:cs="Times New Roman"/>
          <w:lang w:eastAsia="ro-RO"/>
        </w:rPr>
        <w:t>Jeigu norite sužinoti daugiau arba pasitarti, kreipkitės į vaistininką.</w:t>
      </w:r>
    </w:p>
    <w:p w:rsidR="0042719A" w:rsidRPr="00A51F88" w:rsidRDefault="0042719A" w:rsidP="0042719A">
      <w:pPr>
        <w:numPr>
          <w:ilvl w:val="0"/>
          <w:numId w:val="4"/>
        </w:numPr>
        <w:spacing w:after="0" w:line="240" w:lineRule="auto"/>
        <w:ind w:left="567" w:hanging="567"/>
        <w:contextualSpacing/>
        <w:rPr>
          <w:rFonts w:eastAsia="Times New Roman" w:cs="Times New Roman"/>
          <w:lang w:eastAsia="ro-RO"/>
        </w:rPr>
      </w:pPr>
      <w:r w:rsidRPr="00A51F88">
        <w:rPr>
          <w:rFonts w:eastAsia="Times New Roman" w:cs="Times New Roman"/>
          <w:lang w:eastAsia="ro-RO"/>
        </w:rPr>
        <w:t>Jeigu pasireiškė šalutinis poveikis (net jeigu jis šiame lapelyje nenurodytas), kreipkitės į gydytoją arba vaistininką. Žr. 4 skyrių.</w:t>
      </w:r>
    </w:p>
    <w:p w:rsidR="0042719A" w:rsidRPr="00A51F88" w:rsidRDefault="0042719A" w:rsidP="0042719A">
      <w:pPr>
        <w:numPr>
          <w:ilvl w:val="0"/>
          <w:numId w:val="4"/>
        </w:numPr>
        <w:spacing w:after="0" w:line="240" w:lineRule="auto"/>
        <w:ind w:left="567" w:hanging="567"/>
        <w:contextualSpacing/>
        <w:rPr>
          <w:rFonts w:eastAsia="Times New Roman" w:cs="Times New Roman"/>
          <w:lang w:eastAsia="ro-RO"/>
        </w:rPr>
      </w:pPr>
      <w:r w:rsidRPr="00A51F88">
        <w:rPr>
          <w:rFonts w:eastAsia="Times New Roman" w:cs="Times New Roman"/>
          <w:lang w:eastAsia="ro-RO"/>
        </w:rPr>
        <w:t>Jeigu per 4 dienas (suaugusiajam) arba 3 dienas (paaugliui nuo 15 metų) savijauta nepagerėjo arba net pablogėjo, kreipkitės į gydytoją.</w:t>
      </w:r>
    </w:p>
    <w:p w:rsidR="0042719A" w:rsidRPr="00A51F88" w:rsidRDefault="0042719A" w:rsidP="0042719A">
      <w:pPr>
        <w:numPr>
          <w:ilvl w:val="12"/>
          <w:numId w:val="0"/>
        </w:numPr>
        <w:spacing w:line="240" w:lineRule="auto"/>
        <w:ind w:left="567" w:right="-2" w:hanging="567"/>
        <w:jc w:val="both"/>
        <w:outlineLvl w:val="0"/>
        <w:rPr>
          <w:rFonts w:eastAsia="Times New Roman" w:cs="Times New Roman"/>
          <w:b/>
        </w:rPr>
      </w:pPr>
    </w:p>
    <w:p w:rsidR="0042719A" w:rsidRPr="00A51F88" w:rsidRDefault="0042719A" w:rsidP="0042719A">
      <w:pPr>
        <w:numPr>
          <w:ilvl w:val="12"/>
          <w:numId w:val="0"/>
        </w:numPr>
        <w:spacing w:line="240" w:lineRule="auto"/>
        <w:ind w:right="-2"/>
        <w:jc w:val="both"/>
        <w:outlineLvl w:val="0"/>
        <w:rPr>
          <w:rFonts w:eastAsia="Times New Roman" w:cs="Times New Roman"/>
          <w:b/>
          <w:bCs/>
        </w:rPr>
      </w:pPr>
      <w:r w:rsidRPr="00A51F88">
        <w:rPr>
          <w:rFonts w:eastAsia="Times New Roman" w:cs="Times New Roman"/>
          <w:b/>
          <w:bCs/>
        </w:rPr>
        <w:t>Apie ką rašoma šiame lapelyje?</w:t>
      </w:r>
    </w:p>
    <w:p w:rsidR="0042719A" w:rsidRPr="00A51F88" w:rsidRDefault="0042719A" w:rsidP="0042719A">
      <w:pPr>
        <w:numPr>
          <w:ilvl w:val="12"/>
          <w:numId w:val="0"/>
        </w:numPr>
        <w:spacing w:line="240" w:lineRule="auto"/>
        <w:ind w:right="-2"/>
        <w:jc w:val="both"/>
        <w:outlineLvl w:val="0"/>
        <w:rPr>
          <w:rFonts w:eastAsia="Times New Roman" w:cs="Times New Roman"/>
        </w:rPr>
      </w:pPr>
    </w:p>
    <w:p w:rsidR="0042719A" w:rsidRPr="00A51F88" w:rsidRDefault="0042719A" w:rsidP="0042719A">
      <w:pPr>
        <w:numPr>
          <w:ilvl w:val="0"/>
          <w:numId w:val="3"/>
        </w:numPr>
        <w:spacing w:after="0" w:line="240" w:lineRule="auto"/>
        <w:ind w:left="567" w:right="-29" w:hanging="567"/>
        <w:jc w:val="both"/>
        <w:rPr>
          <w:rFonts w:eastAsia="Times New Roman" w:cs="Times New Roman"/>
        </w:rPr>
      </w:pPr>
      <w:r w:rsidRPr="00A51F88">
        <w:rPr>
          <w:rFonts w:eastAsia="Times New Roman" w:cs="Times New Roman"/>
        </w:rPr>
        <w:t>Kas yra Daikol ir kam jis vartojamas</w:t>
      </w:r>
    </w:p>
    <w:p w:rsidR="0042719A" w:rsidRPr="00A51F88" w:rsidRDefault="0042719A" w:rsidP="0042719A">
      <w:pPr>
        <w:tabs>
          <w:tab w:val="left" w:pos="567"/>
        </w:tabs>
        <w:spacing w:line="240" w:lineRule="auto"/>
        <w:ind w:right="-2"/>
        <w:jc w:val="both"/>
        <w:rPr>
          <w:rFonts w:eastAsia="Times New Roman" w:cs="Times New Roman"/>
        </w:rPr>
      </w:pPr>
      <w:r w:rsidRPr="00A51F88">
        <w:rPr>
          <w:rFonts w:eastAsia="Times New Roman" w:cs="Times New Roman"/>
        </w:rPr>
        <w:t>2.</w:t>
      </w:r>
      <w:r w:rsidRPr="00A51F88">
        <w:rPr>
          <w:rFonts w:eastAsia="Times New Roman" w:cs="Times New Roman"/>
        </w:rPr>
        <w:tab/>
        <w:t>Kas žinotina prieš vartojant Daikol</w:t>
      </w:r>
    </w:p>
    <w:p w:rsidR="0042719A" w:rsidRPr="00A51F88" w:rsidRDefault="0042719A" w:rsidP="0042719A">
      <w:pPr>
        <w:tabs>
          <w:tab w:val="left" w:pos="567"/>
        </w:tabs>
        <w:spacing w:line="240" w:lineRule="auto"/>
        <w:ind w:right="-2"/>
        <w:jc w:val="both"/>
        <w:rPr>
          <w:rFonts w:eastAsia="Times New Roman" w:cs="Times New Roman"/>
        </w:rPr>
      </w:pPr>
      <w:r w:rsidRPr="00A51F88">
        <w:rPr>
          <w:rFonts w:eastAsia="Times New Roman" w:cs="Times New Roman"/>
        </w:rPr>
        <w:t>3.</w:t>
      </w:r>
      <w:r w:rsidRPr="00A51F88">
        <w:rPr>
          <w:rFonts w:eastAsia="Times New Roman" w:cs="Times New Roman"/>
        </w:rPr>
        <w:tab/>
        <w:t>Kaip vartoti Daikol</w:t>
      </w:r>
    </w:p>
    <w:p w:rsidR="0042719A" w:rsidRPr="00A51F88" w:rsidRDefault="0042719A" w:rsidP="0042719A">
      <w:pPr>
        <w:tabs>
          <w:tab w:val="left" w:pos="567"/>
        </w:tabs>
        <w:spacing w:line="240" w:lineRule="auto"/>
        <w:ind w:right="-2"/>
        <w:jc w:val="both"/>
        <w:rPr>
          <w:rFonts w:eastAsia="Times New Roman" w:cs="Times New Roman"/>
        </w:rPr>
      </w:pPr>
      <w:r w:rsidRPr="00A51F88">
        <w:rPr>
          <w:rFonts w:eastAsia="Times New Roman" w:cs="Times New Roman"/>
        </w:rPr>
        <w:t>4.</w:t>
      </w:r>
      <w:r w:rsidRPr="00A51F88">
        <w:rPr>
          <w:rFonts w:eastAsia="Times New Roman" w:cs="Times New Roman"/>
        </w:rPr>
        <w:tab/>
        <w:t>Galimas šalutinis poveikis</w:t>
      </w:r>
    </w:p>
    <w:p w:rsidR="0042719A" w:rsidRPr="00A51F88" w:rsidRDefault="0042719A" w:rsidP="0042719A">
      <w:pPr>
        <w:tabs>
          <w:tab w:val="left" w:pos="567"/>
        </w:tabs>
        <w:spacing w:line="240" w:lineRule="auto"/>
        <w:ind w:right="-2"/>
        <w:jc w:val="both"/>
        <w:rPr>
          <w:rFonts w:eastAsia="Times New Roman" w:cs="Times New Roman"/>
        </w:rPr>
      </w:pPr>
      <w:r w:rsidRPr="00A51F88">
        <w:rPr>
          <w:rFonts w:eastAsia="Times New Roman" w:cs="Times New Roman"/>
        </w:rPr>
        <w:t>5.</w:t>
      </w:r>
      <w:r w:rsidRPr="00A51F88">
        <w:rPr>
          <w:rFonts w:eastAsia="Times New Roman" w:cs="Times New Roman"/>
        </w:rPr>
        <w:tab/>
        <w:t>Kaip laikyti Daikol</w:t>
      </w:r>
    </w:p>
    <w:p w:rsidR="0042719A" w:rsidRPr="00A51F88" w:rsidRDefault="0042719A" w:rsidP="0042719A">
      <w:pPr>
        <w:tabs>
          <w:tab w:val="left" w:pos="567"/>
        </w:tabs>
        <w:spacing w:line="240" w:lineRule="auto"/>
        <w:ind w:right="-2"/>
        <w:jc w:val="both"/>
        <w:rPr>
          <w:rFonts w:eastAsia="Times New Roman" w:cs="Times New Roman"/>
        </w:rPr>
      </w:pPr>
      <w:r w:rsidRPr="00A51F88">
        <w:rPr>
          <w:rFonts w:eastAsia="Times New Roman" w:cs="Times New Roman"/>
        </w:rPr>
        <w:t>6.</w:t>
      </w:r>
      <w:r w:rsidRPr="00A51F88">
        <w:rPr>
          <w:rFonts w:eastAsia="Times New Roman" w:cs="Times New Roman"/>
        </w:rPr>
        <w:tab/>
        <w:t>Pakuotės turinys ir kita informacija</w:t>
      </w:r>
    </w:p>
    <w:p w:rsidR="0042719A" w:rsidRPr="00A51F88" w:rsidRDefault="0042719A" w:rsidP="0042719A">
      <w:pPr>
        <w:tabs>
          <w:tab w:val="left" w:pos="567"/>
        </w:tabs>
        <w:spacing w:line="240" w:lineRule="auto"/>
        <w:ind w:right="-2"/>
        <w:jc w:val="both"/>
        <w:rPr>
          <w:rFonts w:eastAsia="Times New Roman" w:cs="Times New Roman"/>
        </w:rPr>
      </w:pPr>
    </w:p>
    <w:p w:rsidR="0042719A" w:rsidRPr="00A51F88" w:rsidRDefault="0042719A" w:rsidP="0042719A">
      <w:pPr>
        <w:spacing w:line="240" w:lineRule="auto"/>
        <w:ind w:right="-2"/>
        <w:jc w:val="both"/>
        <w:rPr>
          <w:rFonts w:eastAsia="Times New Roman" w:cs="Times New Roman"/>
        </w:rPr>
      </w:pPr>
    </w:p>
    <w:p w:rsidR="0042719A" w:rsidRPr="00A51F88" w:rsidRDefault="0042719A" w:rsidP="0042719A">
      <w:pPr>
        <w:numPr>
          <w:ilvl w:val="0"/>
          <w:numId w:val="17"/>
        </w:numPr>
        <w:spacing w:after="0" w:line="240" w:lineRule="auto"/>
        <w:ind w:left="567" w:right="-2" w:hanging="567"/>
        <w:contextualSpacing/>
        <w:jc w:val="both"/>
        <w:rPr>
          <w:rFonts w:eastAsia="Times New Roman" w:cs="Times New Roman"/>
        </w:rPr>
      </w:pPr>
      <w:r w:rsidRPr="00A51F88">
        <w:rPr>
          <w:rFonts w:eastAsia="Times New Roman" w:cs="Times New Roman"/>
          <w:b/>
        </w:rPr>
        <w:t>Kas yra Daikol ir kam jis vartojamas</w:t>
      </w:r>
    </w:p>
    <w:p w:rsidR="0042719A" w:rsidRPr="00A51F88" w:rsidRDefault="0042719A" w:rsidP="0042719A">
      <w:pPr>
        <w:spacing w:line="240" w:lineRule="auto"/>
        <w:ind w:left="567" w:right="-2"/>
        <w:contextualSpacing/>
        <w:jc w:val="both"/>
        <w:rPr>
          <w:rFonts w:eastAsia="Times New Roman" w:cs="Times New Roman"/>
        </w:rPr>
      </w:pPr>
    </w:p>
    <w:p w:rsidR="0042719A" w:rsidRPr="00A51F88" w:rsidRDefault="0042719A" w:rsidP="0042719A">
      <w:pPr>
        <w:spacing w:line="240" w:lineRule="auto"/>
        <w:ind w:right="-2"/>
        <w:jc w:val="both"/>
        <w:rPr>
          <w:rFonts w:eastAsia="Times New Roman" w:cs="Times New Roman"/>
        </w:rPr>
      </w:pPr>
      <w:r w:rsidRPr="00A51F88">
        <w:rPr>
          <w:rFonts w:eastAsia="Times New Roman" w:cs="Times New Roman"/>
          <w:bCs/>
        </w:rPr>
        <w:t>Daikol</w:t>
      </w:r>
      <w:r w:rsidRPr="00A51F88">
        <w:rPr>
          <w:rFonts w:eastAsia="Times New Roman" w:cs="Times New Roman"/>
        </w:rPr>
        <w:t xml:space="preserve"> sudėtyje yra dvi veikliosios medžiagos: ibuprofenas (nesteroidinis vaistas nuo uždegimo) ir pseudoefedrino hidrochloridas (kraujagysles sutraukiantis vaistas).</w:t>
      </w:r>
    </w:p>
    <w:p w:rsidR="0042719A" w:rsidRPr="00A51F88" w:rsidRDefault="0042719A" w:rsidP="0042719A">
      <w:pPr>
        <w:numPr>
          <w:ilvl w:val="0"/>
          <w:numId w:val="5"/>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Ibuprofenas malšina skausmą, uždegimą ir aukštą temperatūrą.</w:t>
      </w:r>
    </w:p>
    <w:p w:rsidR="0042719A" w:rsidRPr="00A51F88" w:rsidRDefault="0042719A" w:rsidP="0042719A">
      <w:pPr>
        <w:numPr>
          <w:ilvl w:val="0"/>
          <w:numId w:val="5"/>
        </w:numPr>
        <w:spacing w:after="0" w:line="240" w:lineRule="auto"/>
        <w:ind w:right="-2"/>
        <w:jc w:val="both"/>
        <w:rPr>
          <w:rFonts w:eastAsia="Times New Roman" w:cs="Times New Roman"/>
        </w:rPr>
      </w:pPr>
      <w:r w:rsidRPr="00A51F88">
        <w:rPr>
          <w:rFonts w:eastAsia="Times New Roman" w:cs="Times New Roman"/>
        </w:rPr>
        <w:t>Pseudoefedrinas veikia nosies gleivinės kraujagysles ir mažina nosies gleivinės paburkimą.</w:t>
      </w:r>
    </w:p>
    <w:p w:rsidR="0042719A" w:rsidRPr="00A51F88" w:rsidRDefault="0042719A" w:rsidP="0042719A">
      <w:pPr>
        <w:tabs>
          <w:tab w:val="left" w:pos="567"/>
        </w:tabs>
        <w:spacing w:line="240" w:lineRule="auto"/>
        <w:rPr>
          <w:rFonts w:eastAsia="Calibri" w:cs="Times New Roman"/>
          <w:lang w:bidi="he-IL"/>
        </w:rPr>
      </w:pPr>
      <w:r w:rsidRPr="00A51F88">
        <w:rPr>
          <w:rFonts w:eastAsia="Times New Roman" w:cs="Times New Roman"/>
          <w:bCs/>
        </w:rPr>
        <w:t xml:space="preserve">Daikol </w:t>
      </w:r>
      <w:r w:rsidRPr="00A51F88">
        <w:rPr>
          <w:rFonts w:eastAsia="Calibri" w:cs="Times New Roman"/>
        </w:rPr>
        <w:t xml:space="preserve">vartojamas suaugusiųjų ir 15 metų bei vyresnių paauglių </w:t>
      </w:r>
      <w:r w:rsidRPr="00A51F88">
        <w:rPr>
          <w:rFonts w:eastAsia="Calibri" w:cs="Times New Roman"/>
          <w:lang w:bidi="he-IL"/>
        </w:rPr>
        <w:t>ūminio rinosinusito sukelto nosies užgulimo, susijusio su galvos skausmu ir (arba) karščiavimu, simptominiam gydymui.</w:t>
      </w:r>
    </w:p>
    <w:p w:rsidR="0042719A" w:rsidRPr="00A51F88" w:rsidRDefault="0042719A" w:rsidP="0042719A">
      <w:pPr>
        <w:autoSpaceDE w:val="0"/>
        <w:autoSpaceDN w:val="0"/>
        <w:adjustRightInd w:val="0"/>
        <w:spacing w:line="240" w:lineRule="auto"/>
        <w:jc w:val="both"/>
        <w:rPr>
          <w:rFonts w:eastAsia="Calibri" w:cs="Times New Roman"/>
        </w:rPr>
      </w:pPr>
      <w:r w:rsidRPr="00A51F88">
        <w:rPr>
          <w:rFonts w:eastAsia="Times New Roman" w:cs="Times New Roman"/>
          <w:color w:val="000000"/>
        </w:rPr>
        <w:t>Vartokite šį sudėtinį vaistą tik jei jaučiate nosies užgulimą kartu su galvos skausmu ar karščiavimu. Nevartokite šio vaisto, jei yra tik vienas iš šių simptomų.</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lang w:eastAsia="ro-RO"/>
        </w:rPr>
        <w:t>Jeigu per 4 dienas (suaugusiajam) arba 3 dienas (paaugliui nuo 15 metų) savijauta nepagerėjo arba net pablogėjo, kreipkitės į gydytoją.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numPr>
          <w:ilvl w:val="0"/>
          <w:numId w:val="17"/>
        </w:numPr>
        <w:spacing w:after="0" w:line="240" w:lineRule="auto"/>
        <w:ind w:left="567" w:right="-29" w:hanging="567"/>
        <w:contextualSpacing/>
        <w:jc w:val="both"/>
        <w:rPr>
          <w:rFonts w:eastAsia="Times New Roman" w:cs="Times New Roman"/>
          <w:b/>
        </w:rPr>
      </w:pPr>
      <w:r w:rsidRPr="00A51F88">
        <w:rPr>
          <w:rFonts w:eastAsia="Times New Roman" w:cs="Times New Roman"/>
          <w:b/>
        </w:rPr>
        <w:t>Kas žinotina prieš vartojant Daikol</w:t>
      </w:r>
    </w:p>
    <w:p w:rsidR="0042719A" w:rsidRPr="00A51F88" w:rsidRDefault="0042719A" w:rsidP="0042719A">
      <w:pPr>
        <w:autoSpaceDE w:val="0"/>
        <w:autoSpaceDN w:val="0"/>
        <w:adjustRightInd w:val="0"/>
        <w:spacing w:line="240" w:lineRule="auto"/>
        <w:ind w:right="-2" w:hanging="357"/>
        <w:jc w:val="both"/>
        <w:rPr>
          <w:rFonts w:eastAsia="Times New Roman" w:cs="Times New Roman"/>
        </w:rPr>
      </w:pPr>
    </w:p>
    <w:p w:rsidR="0042719A" w:rsidRPr="00A51F88" w:rsidRDefault="0042719A" w:rsidP="0042719A">
      <w:pPr>
        <w:spacing w:line="240" w:lineRule="auto"/>
        <w:ind w:right="-2"/>
        <w:jc w:val="both"/>
        <w:rPr>
          <w:rFonts w:eastAsia="Times New Roman" w:cs="Times New Roman"/>
          <w:b/>
          <w:bCs/>
        </w:rPr>
      </w:pPr>
      <w:r w:rsidRPr="00A51F88">
        <w:rPr>
          <w:rFonts w:eastAsia="Times New Roman" w:cs="Times New Roman"/>
          <w:b/>
          <w:bCs/>
        </w:rPr>
        <w:t xml:space="preserve">Daikol vartoti </w:t>
      </w:r>
      <w:r>
        <w:rPr>
          <w:rFonts w:eastAsia="Times New Roman" w:cs="Times New Roman"/>
          <w:b/>
          <w:bCs/>
        </w:rPr>
        <w:t>draudž</w:t>
      </w:r>
      <w:r w:rsidRPr="00A51F88">
        <w:rPr>
          <w:rFonts w:eastAsia="Times New Roman" w:cs="Times New Roman"/>
          <w:b/>
          <w:bCs/>
        </w:rPr>
        <w:t>i</w:t>
      </w:r>
      <w:r>
        <w:rPr>
          <w:rFonts w:eastAsia="Times New Roman" w:cs="Times New Roman"/>
          <w:b/>
          <w:bCs/>
        </w:rPr>
        <w:t>a</w:t>
      </w:r>
      <w:r w:rsidRPr="00A51F88">
        <w:rPr>
          <w:rFonts w:eastAsia="Times New Roman" w:cs="Times New Roman"/>
          <w:b/>
          <w:bCs/>
        </w:rPr>
        <w:t>ma:</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jeigu yra alergija veikliosioms medžiagoms arba bet kuriai pagalbinei šio vaisto medžiagai (jos išvardytos 6 skyriuje);</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jaunesniems kaip 15 metų vaikams ir paaugliams;</w:t>
      </w:r>
    </w:p>
    <w:p w:rsidR="0042719A" w:rsidRPr="00A51F88" w:rsidRDefault="0042719A" w:rsidP="0042719A">
      <w:pPr>
        <w:numPr>
          <w:ilvl w:val="0"/>
          <w:numId w:val="6"/>
        </w:numPr>
        <w:autoSpaceDE w:val="0"/>
        <w:autoSpaceDN w:val="0"/>
        <w:adjustRightInd w:val="0"/>
        <w:spacing w:after="0" w:line="240" w:lineRule="auto"/>
        <w:ind w:left="567" w:right="-2" w:hanging="567"/>
        <w:jc w:val="both"/>
        <w:rPr>
          <w:rFonts w:eastAsia="Times New Roman" w:cs="Times New Roman"/>
          <w:color w:val="000000"/>
        </w:rPr>
      </w:pPr>
      <w:r w:rsidRPr="00A51F88">
        <w:rPr>
          <w:rFonts w:eastAsia="Times New Roman" w:cs="Times New Roman"/>
          <w:color w:val="000000"/>
        </w:rPr>
        <w:t>esate nėščia arba žindote;</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vartojant aspiriną ar vaistų nuo skausmo, kitų karščiavimą mažinančių vaistų nors kartą buvo pasireiškusi alerginė reakcija, tokia kaip švokštimas, paūmėjusi astma, niežėjimas, sloga, veido patinimas, dilgėlinė;</w:t>
      </w:r>
    </w:p>
    <w:p w:rsidR="0042719A" w:rsidRDefault="0042719A" w:rsidP="0042719A">
      <w:pPr>
        <w:numPr>
          <w:ilvl w:val="0"/>
          <w:numId w:val="6"/>
        </w:numPr>
        <w:autoSpaceDE w:val="0"/>
        <w:autoSpaceDN w:val="0"/>
        <w:adjustRightInd w:val="0"/>
        <w:spacing w:after="0" w:line="240" w:lineRule="auto"/>
        <w:ind w:left="567" w:right="-2" w:hanging="567"/>
        <w:jc w:val="both"/>
        <w:rPr>
          <w:rFonts w:eastAsia="Times New Roman" w:cs="Times New Roman"/>
          <w:color w:val="000000"/>
        </w:rPr>
      </w:pPr>
      <w:r w:rsidRPr="00A51F88">
        <w:rPr>
          <w:rFonts w:eastAsia="Times New Roman" w:cs="Times New Roman"/>
          <w:color w:val="000000"/>
        </w:rPr>
        <w:t>turite ar anksčiau turėjote skrandžio opą;</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bCs/>
          <w:color w:val="000000"/>
        </w:rPr>
      </w:pPr>
      <w:r w:rsidRPr="00A51F88">
        <w:rPr>
          <w:rFonts w:eastAsia="Times New Roman" w:cs="Times New Roman"/>
          <w:color w:val="000000"/>
        </w:rPr>
        <w:t>patyrėte</w:t>
      </w:r>
      <w:r w:rsidRPr="00A51F88">
        <w:rPr>
          <w:rFonts w:eastAsia="Times New Roman" w:cs="Times New Roman"/>
          <w:bCs/>
        </w:rPr>
        <w:t xml:space="preserve"> </w:t>
      </w:r>
      <w:r w:rsidRPr="00A51F88">
        <w:rPr>
          <w:rFonts w:eastAsia="Times New Roman" w:cs="Times New Roman"/>
          <w:bCs/>
          <w:color w:val="000000"/>
        </w:rPr>
        <w:t>kraujavimą ar perforaciją virškinimo trakte, siejamą su ankstesniu nesteroidinių vaistų nuo uždegimo (NVNU) vartojimu;</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bCs/>
          <w:color w:val="000000"/>
        </w:rPr>
      </w:pPr>
      <w:r w:rsidRPr="00A51F88">
        <w:rPr>
          <w:rFonts w:eastAsia="Times New Roman" w:cs="Times New Roman"/>
          <w:bCs/>
          <w:color w:val="000000"/>
        </w:rPr>
        <w:t>įtariamas kraujavimas į smegenis arba kitoks kraujavimas;</w:t>
      </w:r>
    </w:p>
    <w:p w:rsidR="0042719A" w:rsidRPr="00A51F88" w:rsidRDefault="0042719A" w:rsidP="0042719A">
      <w:pPr>
        <w:numPr>
          <w:ilvl w:val="0"/>
          <w:numId w:val="6"/>
        </w:numPr>
        <w:autoSpaceDE w:val="0"/>
        <w:autoSpaceDN w:val="0"/>
        <w:adjustRightInd w:val="0"/>
        <w:spacing w:after="0" w:line="240" w:lineRule="auto"/>
        <w:ind w:left="567" w:right="-2" w:hanging="567"/>
        <w:jc w:val="both"/>
        <w:rPr>
          <w:rFonts w:eastAsia="Times New Roman" w:cs="Times New Roman"/>
          <w:color w:val="000000"/>
        </w:rPr>
      </w:pPr>
      <w:r w:rsidRPr="00A51F88">
        <w:rPr>
          <w:rFonts w:eastAsia="Times New Roman" w:cs="Times New Roman"/>
          <w:color w:val="000000"/>
        </w:rPr>
        <w:t>sergate sunkiu kepenų arba inkstų funkcijos nepakankamumu;</w:t>
      </w:r>
    </w:p>
    <w:p w:rsidR="0042719A" w:rsidRPr="00A51F88" w:rsidRDefault="0042719A" w:rsidP="0042719A">
      <w:pPr>
        <w:numPr>
          <w:ilvl w:val="0"/>
          <w:numId w:val="6"/>
        </w:numPr>
        <w:autoSpaceDE w:val="0"/>
        <w:autoSpaceDN w:val="0"/>
        <w:adjustRightInd w:val="0"/>
        <w:spacing w:after="0" w:line="240" w:lineRule="auto"/>
        <w:ind w:left="567" w:right="-2" w:hanging="567"/>
        <w:jc w:val="both"/>
        <w:rPr>
          <w:rFonts w:eastAsia="Times New Roman" w:cs="Times New Roman"/>
          <w:color w:val="000000"/>
        </w:rPr>
      </w:pPr>
      <w:r w:rsidRPr="00A51F88">
        <w:rPr>
          <w:rFonts w:eastAsia="Times New Roman" w:cs="Times New Roman"/>
          <w:color w:val="000000"/>
        </w:rPr>
        <w:t>sergate sunkiu širdies nepakankamumu;</w:t>
      </w:r>
    </w:p>
    <w:p w:rsidR="0042719A" w:rsidRPr="00A51F88" w:rsidRDefault="0042719A" w:rsidP="0042719A">
      <w:pPr>
        <w:numPr>
          <w:ilvl w:val="0"/>
          <w:numId w:val="6"/>
        </w:numPr>
        <w:autoSpaceDE w:val="0"/>
        <w:autoSpaceDN w:val="0"/>
        <w:adjustRightInd w:val="0"/>
        <w:spacing w:after="0" w:line="240" w:lineRule="auto"/>
        <w:ind w:left="567" w:right="-2" w:hanging="567"/>
        <w:jc w:val="both"/>
        <w:rPr>
          <w:rFonts w:eastAsia="Times New Roman" w:cs="Times New Roman"/>
          <w:color w:val="000000"/>
        </w:rPr>
      </w:pPr>
      <w:r w:rsidRPr="00A51F88">
        <w:rPr>
          <w:rFonts w:eastAsia="Times New Roman" w:cs="Times New Roman"/>
          <w:color w:val="000000"/>
        </w:rPr>
        <w:t xml:space="preserve">turite širdies sutrikimų (nustatyta širdies liga, </w:t>
      </w:r>
      <w:r w:rsidRPr="00A51F88">
        <w:rPr>
          <w:rFonts w:eastAsia="Times New Roman" w:cs="Times New Roman"/>
          <w:bCs/>
          <w:color w:val="000000"/>
        </w:rPr>
        <w:t>padidėjęs kraujospūdis</w:t>
      </w:r>
      <w:r w:rsidRPr="00A51F88">
        <w:rPr>
          <w:rFonts w:eastAsia="Times New Roman" w:cs="Times New Roman"/>
          <w:color w:val="000000"/>
        </w:rPr>
        <w:t>, krūtinės angina, pagreitėjęs širdies plakimas), padidėjęs skydliaukės aktyvumas, cukrinis diabetas, feochromocitoma (</w:t>
      </w:r>
      <w:r w:rsidRPr="00A51F88">
        <w:rPr>
          <w:rFonts w:eastAsia="Times New Roman" w:cs="Times New Roman"/>
          <w:bCs/>
          <w:color w:val="000000"/>
        </w:rPr>
        <w:t>antinksčių navikas)</w:t>
      </w:r>
      <w:r w:rsidRPr="00A51F88">
        <w:rPr>
          <w:rFonts w:eastAsia="Times New Roman" w:cs="Times New Roman"/>
          <w:color w:val="000000"/>
        </w:rPr>
        <w:t>;</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praeityje yra buvęs širdies smūgis (miokardo infarktas);</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turite nekontroliuojamai aukštą kraujospūdį;</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patyrėte insultą arba yra insulto grėsmė;</w:t>
      </w:r>
    </w:p>
    <w:p w:rsidR="0042719A"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praeityje buvę traukulių;</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turėjote neaiškių kraujo sutrikimų;</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sergate glaukoma (padidėjęs akispūdis);</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patiriate sunkumų šlapinantis dėl prostatos ar šlaplės sutrikimų;</w:t>
      </w:r>
    </w:p>
    <w:p w:rsidR="0042719A" w:rsidRPr="00A51F88" w:rsidRDefault="0042719A" w:rsidP="0042719A">
      <w:pPr>
        <w:numPr>
          <w:ilvl w:val="0"/>
          <w:numId w:val="6"/>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sergate sistemine raudonąja vilklige (SRV, tai autoimuninė liga, kuri sukelia sąnarių skausmą, odos pokyčius);</w:t>
      </w:r>
    </w:p>
    <w:p w:rsidR="0042719A" w:rsidRPr="00A51F88" w:rsidRDefault="0042719A" w:rsidP="0042719A">
      <w:pPr>
        <w:numPr>
          <w:ilvl w:val="0"/>
          <w:numId w:val="7"/>
        </w:numPr>
        <w:autoSpaceDE w:val="0"/>
        <w:autoSpaceDN w:val="0"/>
        <w:adjustRightInd w:val="0"/>
        <w:spacing w:after="0" w:line="240" w:lineRule="auto"/>
        <w:ind w:left="567" w:hanging="567"/>
        <w:jc w:val="both"/>
        <w:rPr>
          <w:rFonts w:eastAsia="Times New Roman" w:cs="Times New Roman"/>
          <w:color w:val="000000"/>
        </w:rPr>
      </w:pPr>
      <w:r w:rsidRPr="00A51F88">
        <w:rPr>
          <w:rFonts w:eastAsia="Times New Roman" w:cs="Times New Roman"/>
          <w:color w:val="000000"/>
        </w:rPr>
        <w:t>vartojate:</w:t>
      </w:r>
    </w:p>
    <w:p w:rsidR="0042719A" w:rsidRPr="00A51F88" w:rsidRDefault="0042719A" w:rsidP="0042719A">
      <w:pPr>
        <w:numPr>
          <w:ilvl w:val="1"/>
          <w:numId w:val="16"/>
        </w:numPr>
        <w:autoSpaceDE w:val="0"/>
        <w:autoSpaceDN w:val="0"/>
        <w:adjustRightInd w:val="0"/>
        <w:spacing w:after="0" w:line="240" w:lineRule="auto"/>
        <w:ind w:left="709" w:hanging="142"/>
        <w:jc w:val="both"/>
        <w:rPr>
          <w:rFonts w:eastAsia="Times New Roman" w:cs="Times New Roman"/>
          <w:color w:val="000000"/>
        </w:rPr>
      </w:pPr>
      <w:r w:rsidRPr="00A51F88">
        <w:rPr>
          <w:rFonts w:eastAsia="Times New Roman" w:cs="Times New Roman"/>
          <w:color w:val="000000"/>
        </w:rPr>
        <w:t>acetilsalicilo rūgštį (daugiau kaip 75 mg per dieną), kitų nesteroidinių priešuždegiminių ar skausmą malšinančių vaistų;</w:t>
      </w:r>
    </w:p>
    <w:p w:rsidR="0042719A" w:rsidRPr="00A51F88" w:rsidRDefault="0042719A" w:rsidP="0042719A">
      <w:pPr>
        <w:numPr>
          <w:ilvl w:val="1"/>
          <w:numId w:val="16"/>
        </w:numPr>
        <w:autoSpaceDE w:val="0"/>
        <w:autoSpaceDN w:val="0"/>
        <w:adjustRightInd w:val="0"/>
        <w:spacing w:after="0" w:line="240" w:lineRule="auto"/>
        <w:ind w:left="709" w:hanging="142"/>
        <w:jc w:val="both"/>
        <w:rPr>
          <w:rFonts w:eastAsia="Times New Roman" w:cs="Times New Roman"/>
          <w:color w:val="000000"/>
        </w:rPr>
      </w:pPr>
      <w:r w:rsidRPr="00A51F88">
        <w:rPr>
          <w:rFonts w:eastAsia="Times New Roman" w:cs="Times New Roman"/>
          <w:bCs/>
          <w:color w:val="000000"/>
        </w:rPr>
        <w:t>kitų nosies gleivinės paburkimą mažinančių vaistų</w:t>
      </w:r>
      <w:r w:rsidRPr="00A51F88">
        <w:rPr>
          <w:rFonts w:eastAsia="Times New Roman" w:cs="Times New Roman"/>
          <w:color w:val="000000"/>
        </w:rPr>
        <w:t xml:space="preserve"> (pvz., fenilpropanolaminą,</w:t>
      </w:r>
      <w:r w:rsidRPr="00A51F88">
        <w:rPr>
          <w:rFonts w:eastAsia="Calibri" w:cs="Times New Roman"/>
        </w:rPr>
        <w:t xml:space="preserve"> </w:t>
      </w:r>
      <w:r w:rsidRPr="00A51F88">
        <w:rPr>
          <w:rFonts w:eastAsia="Times New Roman" w:cs="Times New Roman"/>
          <w:color w:val="000000"/>
        </w:rPr>
        <w:t>fenilefriną, efedriną ar metilfenidatą);</w:t>
      </w:r>
    </w:p>
    <w:p w:rsidR="0042719A" w:rsidRPr="00A51F88" w:rsidRDefault="0042719A" w:rsidP="0042719A">
      <w:pPr>
        <w:numPr>
          <w:ilvl w:val="1"/>
          <w:numId w:val="16"/>
        </w:numPr>
        <w:autoSpaceDE w:val="0"/>
        <w:autoSpaceDN w:val="0"/>
        <w:adjustRightInd w:val="0"/>
        <w:spacing w:after="0" w:line="240" w:lineRule="auto"/>
        <w:ind w:left="709" w:hanging="142"/>
        <w:jc w:val="both"/>
        <w:rPr>
          <w:rFonts w:eastAsia="Times New Roman" w:cs="Times New Roman"/>
          <w:color w:val="000000"/>
        </w:rPr>
      </w:pPr>
      <w:r w:rsidRPr="00A51F88">
        <w:rPr>
          <w:rFonts w:eastAsia="Times New Roman" w:cs="Times New Roman"/>
          <w:color w:val="000000"/>
        </w:rPr>
        <w:t>neselektyvių monoaminoksidazės inhibitorių (žinomų kaip MAO inhibitoriai, kurie vartojami gydyti Parkinsono ligą arba depresiją) ar vartojote jų per paskutines dvi savaites.</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Įspėjimai ir atsargumo priemonės</w:t>
      </w:r>
    </w:p>
    <w:p w:rsidR="0042719A" w:rsidRPr="00A51F88" w:rsidRDefault="0042719A" w:rsidP="0042719A">
      <w:pPr>
        <w:autoSpaceDE w:val="0"/>
        <w:autoSpaceDN w:val="0"/>
        <w:adjustRightInd w:val="0"/>
        <w:spacing w:line="240" w:lineRule="auto"/>
        <w:jc w:val="both"/>
        <w:rPr>
          <w:rFonts w:eastAsia="Times New Roman" w:cs="Times New Roman"/>
          <w:bCs/>
          <w:color w:val="000000"/>
        </w:rPr>
      </w:pPr>
      <w:r w:rsidRPr="00A51F88">
        <w:rPr>
          <w:rFonts w:eastAsia="Times New Roman" w:cs="Times New Roman"/>
          <w:color w:val="000000"/>
        </w:rPr>
        <w:t xml:space="preserve">Pasitarkite su gydytoju arba vaistininku, prieš pradėdami vartoti </w:t>
      </w:r>
      <w:r w:rsidRPr="00A51F88">
        <w:rPr>
          <w:rFonts w:eastAsia="Times New Roman" w:cs="Times New Roman"/>
          <w:bCs/>
          <w:color w:val="000000"/>
        </w:rPr>
        <w:t>Daikol:</w:t>
      </w:r>
    </w:p>
    <w:p w:rsidR="0042719A" w:rsidRPr="00A51F88" w:rsidRDefault="0042719A" w:rsidP="0042719A">
      <w:pPr>
        <w:numPr>
          <w:ilvl w:val="0"/>
          <w:numId w:val="2"/>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sergate astma; yra astmos priepuolio rizika;</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b/>
          <w:color w:val="000000"/>
        </w:rPr>
      </w:pPr>
      <w:r w:rsidRPr="00A51F88">
        <w:rPr>
          <w:rFonts w:eastAsia="Times New Roman" w:cs="Times New Roman"/>
          <w:color w:val="000000"/>
        </w:rPr>
        <w:t>jeigu gydytojas Jums yra sakęs, kad Jums yra kraujo krešėjimo sutrikimų;</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vartojate vaistus kraujui skystinti, pavyzdžiui, varfariną, mažas acetilsalicilo rūgšties (aspirino) dozes;</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turėjote skrandžio opą;</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vartojate vaistus, kurie gali didinti skrandžio opos ar kraujavimo riziką, pvz. steroidai, selektyvių serotonino reabsorbcijos inhibitorių (SSRI) klasės antidepresantai (pvz., fluoksetinas, paroksetinas) arba nesteroidinių vaistų nuo uždegimo, įskaitant aspiriną;</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turite aukštą kraujospūdį, širdies problemų, sergate širdies nepakankamumu, cukriniu diabetu, antinksčių naviku, vadinamu feochromocitoma, ar psichoze;</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sergate jungiamojo audinio liga, pvz., raudonąja vilklige;</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sergate opiniu kolitu arba Krono liga;</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turite inkstų ar kepenų sutrikimų;</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vartojate vaistų migrenai gydyti;</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sergate infekcine liga – žr. poskyrį su antrašte „Infekcijos“ toliau.</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bCs/>
        </w:rPr>
        <w:t>vartojant Daikol, dėl gaubtinės žarnos uždegimo (išeminio kolito) gali pasireikšti ūmus pilvo skausmas arba kraujavimas iš tiesiosios žarnos. Jei Jums pasireiškia šie virškinimo trakto simptomai, nevartokite Daikol ir nedelsiant susisiekite su savo gydytoju arba kreipkitės medicininės pagalbos. Žr. 4 skyrių;</w:t>
      </w:r>
    </w:p>
    <w:p w:rsidR="0042719A" w:rsidRPr="00A51F88" w:rsidRDefault="0042719A" w:rsidP="0042719A">
      <w:pPr>
        <w:numPr>
          <w:ilvl w:val="0"/>
          <w:numId w:val="1"/>
        </w:numPr>
        <w:autoSpaceDE w:val="0"/>
        <w:autoSpaceDN w:val="0"/>
        <w:adjustRightInd w:val="0"/>
        <w:spacing w:after="0" w:line="240" w:lineRule="auto"/>
        <w:jc w:val="both"/>
        <w:rPr>
          <w:rFonts w:eastAsia="Times New Roman" w:cs="Times New Roman"/>
          <w:color w:val="000000"/>
        </w:rPr>
      </w:pPr>
      <w:r w:rsidRPr="00A51F88">
        <w:rPr>
          <w:bCs/>
        </w:rPr>
        <w:t xml:space="preserve">odos reakcijos. </w:t>
      </w:r>
      <w:r w:rsidRPr="00A51F88">
        <w:t>Vartojant Daikol buvo pranešta apie sunkias odos reakcijas. Jei jums pasireikštų odos išbėrimas, gleivinių pažeidimas, pūslės ar kitų alergijos požymių, Daikol vartojimą nutraukite ir nedelsdami kreipkitės medicininės pagalbos, nes tai gali būti pirmieji labai sunkios odos reakcijos požymiai. Žr. 4 skyrių.</w:t>
      </w:r>
    </w:p>
    <w:p w:rsidR="0042719A" w:rsidRDefault="0042719A" w:rsidP="0042719A">
      <w:pPr>
        <w:numPr>
          <w:ilvl w:val="0"/>
          <w:numId w:val="1"/>
        </w:numPr>
        <w:autoSpaceDE w:val="0"/>
        <w:autoSpaceDN w:val="0"/>
        <w:adjustRightInd w:val="0"/>
        <w:spacing w:after="0" w:line="240" w:lineRule="auto"/>
        <w:jc w:val="both"/>
      </w:pPr>
      <w:r w:rsidRPr="00A51F88">
        <w:t>vartojant Daikol gali sumažėti Jūsų regos nervo aprūpinimas krauju. Jeigu staiga netektumėte regos, nustokite vartoti Daikol ir susisiekite su gydytoju arba skubiai kreipkitės medicinos pagalbos. Žr. 4 skyrių.</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Tokie vaistai, kaip Daikol, gali būti susiję su nedideliu širdies priepuolio (miokardo infarkto) ar insulto pavojaus padidėjimu. Bet koks pavojus yra labiau tikėtinas ilgą laiką vartojant vaistą didelėmis dozėmis. Neviršykite rekomenduotos dozės ar gydymo laiko.</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Gydymo metu alkoholio vartojimo turėtumėte vengti.</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Jei simptomai neišnyksta arba pablogėja, kreipkitės į gydytoją.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
          <w:bCs/>
          <w:color w:val="000000"/>
        </w:rPr>
        <w:t>Vaikams ir paaugliams</w:t>
      </w:r>
    </w:p>
    <w:p w:rsidR="0042719A"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Cs/>
          <w:color w:val="000000"/>
        </w:rPr>
        <w:t>Daikol negalima vartoti vaikams ir paaugliams iki 15 metų.</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Infekcijos</w:t>
      </w:r>
    </w:p>
    <w:p w:rsidR="0042719A"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Daikol gali paslėpti tokius infekcijų požymius kaip karščiavimas ir skausmas. Todėl gali būti, kad vartojant Daikol,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Kiti vaistai ir Daikol</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Jeigu vartojate ar neseniai vartojote kitų vaistų arba dėl to nesate tikri, apie tai pasakykite gydytojui arba vaistininkui:</w:t>
      </w:r>
    </w:p>
    <w:p w:rsidR="0042719A" w:rsidRPr="00A51F88" w:rsidRDefault="0042719A" w:rsidP="0042719A">
      <w:pPr>
        <w:numPr>
          <w:ilvl w:val="0"/>
          <w:numId w:val="8"/>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aspirinas (daugiau kaip 75 mg per dieną);</w:t>
      </w:r>
    </w:p>
    <w:p w:rsidR="0042719A" w:rsidRPr="00A51F88" w:rsidRDefault="0042719A" w:rsidP="0042719A">
      <w:pPr>
        <w:numPr>
          <w:ilvl w:val="0"/>
          <w:numId w:val="8"/>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kiti nesteroidiniai vaistai nuo uždegimo (NVNU);</w:t>
      </w:r>
    </w:p>
    <w:p w:rsidR="0042719A" w:rsidRPr="00A51F88" w:rsidRDefault="0042719A" w:rsidP="0042719A">
      <w:pPr>
        <w:numPr>
          <w:ilvl w:val="0"/>
          <w:numId w:val="8"/>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kiti skausmą malšinantys ar karščiavimą mažinantys vaistai;</w:t>
      </w:r>
    </w:p>
    <w:p w:rsidR="0042719A" w:rsidRPr="00A51F88" w:rsidRDefault="0042719A" w:rsidP="0042719A">
      <w:pPr>
        <w:numPr>
          <w:ilvl w:val="0"/>
          <w:numId w:val="8"/>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 per paskutines dvi savaites vartojote monoaminoksidazės inhibitorių (žinomų kaip MAO inhibitoriai, kurie vartojami gydyti Parkinsono ligą arba depresiją);</w:t>
      </w:r>
    </w:p>
    <w:p w:rsidR="0042719A" w:rsidRPr="00A51F88" w:rsidRDefault="0042719A" w:rsidP="0042719A">
      <w:pPr>
        <w:numPr>
          <w:ilvl w:val="0"/>
          <w:numId w:val="8"/>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kiti kraujagysles sutraukiantys vaistai, naudojami nosies gleivinės paburkimui mažinti (pvz., per burną ar į nosį vartojami fenilpropanolaminas, fenilefrinas ir efedrinas).</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tabs>
          <w:tab w:val="left" w:pos="567"/>
        </w:tabs>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Ypač svarbu, kad pasakytumėte gydytojui arba vaistininkui, jeigu vartojate bet kurį iš toliau išvardintų vaistų:</w:t>
      </w:r>
    </w:p>
    <w:p w:rsidR="0042719A"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vaistai kraujui skystinti (antikoaguliantai ir trombocitų sukibimą slopinantys vaistai), pvz., varfarinas ar aspirinas;</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vaistai, kurie gali didinti skrandžio opos ar kraujavimo riziką, pvz., steroidai, antidepresantai iš SSRI klasės (pvz., fluoksetinas, paroksetinas) arba NVNU, įskaitant aspiriną ir ciklooksigenazę-2 slopinantys vaistai (pvz., etorikoksibas);</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vaistai, skirti gydyti aukštą kraujospūdį (guanetidinas, rezerpinas, metildopa), nereguliarų širdies ritmą, krūtinės anginą, širdies nepakankamumą arba skysčių susilaikymą (pvz., AKF inhibitoriai, betablokatoriai, angiotenzino II antagonistai, širdies glikozidai), nes Daikol gali sumažinti jų poveikį ar padidinti sutrikusio širdies ritmo, aukšto kraujospūdžio ar inkstų funkcijos sutrikimo riziką;</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ciklosporinas (imunosupresantas), nes gali būti padidėjusi inkstų funkcijos sutrikimo rizika;</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vaistai, skirti depresijai gydyti (litis, tricikliai antidepresantai) gali padidinti šalutinio poveikio pavojų;</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fenitoinas; jei kartu vartojamas fenitoinas, gali didėti jo kiekis serume. Tirti fenitoino kiekį serume paprastai nėra būtina, jei vartojama taip, kaip nurodyta (ne ilgiau kaip 5 dienas);</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kiti dekongestantai ar vaistai, skirti sumažinti apetitą, nes gali padidėti šalutinio poveikio rizika;</w:t>
      </w:r>
    </w:p>
    <w:p w:rsidR="0042719A" w:rsidRPr="00A51F88" w:rsidRDefault="0042719A" w:rsidP="0042719A">
      <w:pPr>
        <w:numPr>
          <w:ilvl w:val="0"/>
          <w:numId w:val="9"/>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probenecidas ar sulfinpirazonas gali lėtinti ibuprofeno šalinimą;</w:t>
      </w:r>
    </w:p>
    <w:p w:rsidR="0042719A" w:rsidRPr="00A51F88" w:rsidRDefault="0042719A" w:rsidP="0042719A">
      <w:pPr>
        <w:numPr>
          <w:ilvl w:val="0"/>
          <w:numId w:val="10"/>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 xml:space="preserve">sulfonilkarbamidai (vaistai nuo diabeto): nors sąveika su ibuprofenu nebuvo aprašyta, vartojant šį derinį </w:t>
      </w:r>
      <w:r w:rsidRPr="00A51F88">
        <w:rPr>
          <w:rFonts w:eastAsia="Times New Roman" w:cs="Times New Roman"/>
        </w:rPr>
        <w:t xml:space="preserve">dėl atsargumo </w:t>
      </w:r>
      <w:r w:rsidRPr="00A51F88">
        <w:rPr>
          <w:rFonts w:eastAsia="Times New Roman" w:cs="Times New Roman"/>
          <w:color w:val="000000"/>
        </w:rPr>
        <w:t xml:space="preserve">rekomenduojama </w:t>
      </w:r>
      <w:r w:rsidRPr="00A51F88">
        <w:rPr>
          <w:rFonts w:eastAsia="Times New Roman" w:cs="Times New Roman"/>
        </w:rPr>
        <w:t>stebėti gliukozės kiekį kraujyje;</w:t>
      </w:r>
    </w:p>
    <w:p w:rsidR="0042719A" w:rsidRPr="00A51F88"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vaistai, skatinantys šlapinimąsi (diuretikai, taip pat ir kalį organizme sulaikantys diuretikai);</w:t>
      </w:r>
    </w:p>
    <w:p w:rsidR="0042719A" w:rsidRPr="00A51F88"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aukštos metotreksato dozės (daugiau kaip 20 mg per savaitę), nes tai gali sukelti padidėjusį metotreksato poveikį;</w:t>
      </w:r>
    </w:p>
    <w:p w:rsidR="0042719A"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chinolonų grupės antibiotikai dėl padidėjusios rizikos išsivystyti traukuliams;</w:t>
      </w:r>
    </w:p>
    <w:p w:rsidR="0042719A" w:rsidRPr="00A51F88"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ciklosporinas, takrolimuzas ir trimetoprimas;</w:t>
      </w:r>
    </w:p>
    <w:p w:rsidR="0042719A"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vaistai nuo migrenos;</w:t>
      </w:r>
    </w:p>
    <w:p w:rsidR="0042719A" w:rsidRPr="00A51F88"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zidovudinas (skirtas gydyti ŽIV);</w:t>
      </w:r>
    </w:p>
    <w:p w:rsidR="0042719A" w:rsidRPr="00A51F88" w:rsidRDefault="0042719A" w:rsidP="0042719A">
      <w:pPr>
        <w:numPr>
          <w:ilvl w:val="0"/>
          <w:numId w:val="11"/>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injekciniai heparino vaistai ir (arba) vaistai, kurių sudėtyje yra ginkmedžio (</w:t>
      </w:r>
      <w:r w:rsidRPr="00A51F88">
        <w:rPr>
          <w:rFonts w:eastAsia="Times New Roman" w:cs="Times New Roman"/>
          <w:i/>
          <w:iCs/>
          <w:color w:val="000000"/>
        </w:rPr>
        <w:t xml:space="preserve">Ginkgo biloba) </w:t>
      </w:r>
      <w:r w:rsidRPr="00A51F88">
        <w:rPr>
          <w:rFonts w:eastAsia="Times New Roman" w:cs="Times New Roman"/>
          <w:color w:val="000000"/>
        </w:rPr>
        <w:t>dėl padidėjusios kraujavimo rizikos.</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Pseudoefedrino vartojimas operacijos metu gali sukelti ūminę kraujospūdžio padidėjimu pasireiškiančią reakciją. Dėl šios priežasties gydymą ibuprofenu ir pseudoefedrino hidrochloridu reikia nutraukti likus kelioms dienoms iki operacijos, apie tai būtina informuoti anesteziologą.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color w:val="000000"/>
        </w:rPr>
      </w:pPr>
      <w:r w:rsidRPr="00A51F88">
        <w:rPr>
          <w:rFonts w:eastAsia="Times New Roman" w:cs="Times New Roman"/>
          <w:b/>
          <w:bCs/>
          <w:color w:val="000000"/>
        </w:rPr>
        <w:t>Daikol vartojimas su maistu ir gėrimais</w:t>
      </w:r>
    </w:p>
    <w:p w:rsidR="0042719A" w:rsidRPr="00A51F88" w:rsidRDefault="0042719A" w:rsidP="0042719A">
      <w:pPr>
        <w:autoSpaceDE w:val="0"/>
        <w:autoSpaceDN w:val="0"/>
        <w:adjustRightInd w:val="0"/>
        <w:spacing w:line="240" w:lineRule="auto"/>
        <w:ind w:left="720" w:hanging="720"/>
        <w:jc w:val="both"/>
        <w:rPr>
          <w:rFonts w:eastAsia="Times New Roman" w:cs="Times New Roman"/>
        </w:rPr>
      </w:pPr>
      <w:r w:rsidRPr="00A51F88">
        <w:rPr>
          <w:rFonts w:eastAsia="Times New Roman" w:cs="Times New Roman"/>
        </w:rPr>
        <w:t>Tabletes reikia nuryti užgeriant vandeniu, pageidautina valgio metu.</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Nėštumas, žindymo laikotarpis ir vaisingumas</w:t>
      </w:r>
    </w:p>
    <w:p w:rsidR="0042719A"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Jeigu esate nėščia, žindote kūdikį, manote, kad galbūt esate nėščia, arba planuojate pastoti, tai prieš vartodama šį vaistą, pasitarkite su gydytoju arba vaistininku.</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E13A44">
        <w:rPr>
          <w:rFonts w:eastAsia="Times New Roman" w:cs="Times New Roman"/>
          <w:color w:val="000000"/>
          <w:sz w:val="24"/>
          <w:szCs w:val="24"/>
        </w:rPr>
        <w:t xml:space="preserve">Vaisto negalima vartoti paskutiniuosius 3 nėštumo mėnesius, </w:t>
      </w:r>
      <w:r w:rsidRPr="00F000C2">
        <w:rPr>
          <w:rFonts w:eastAsia="Times New Roman" w:cs="Times New Roman"/>
          <w:color w:val="000000"/>
        </w:rPr>
        <w:t xml:space="preserve">nes tai gali pakenkti vaisiui (būsimam kūdikiui) arba sukelti problemų gimdymo metu. Šis vaistas gali sukelti vaisiaus inkstų ir širdies sutrikimų. Jis gali paveikti Jūsų ir Jūsų kūdikio polinkį kraujuoti ir dėl jo gimdymas gali būti vėlesnis arba ilgesnis, nei tikėtasi. </w:t>
      </w:r>
      <w:r w:rsidRPr="00E13A44">
        <w:rPr>
          <w:rFonts w:eastAsia="Times New Roman" w:cs="Times New Roman"/>
          <w:color w:val="000000"/>
          <w:sz w:val="24"/>
          <w:szCs w:val="24"/>
        </w:rPr>
        <w:t>Pirmuosius 6 nėštumo mėnesius vaisto vartoti negalima, nebent tai neabejotinai būtina ir taip pataria gydytojas.</w:t>
      </w:r>
      <w:r w:rsidRPr="00F000C2">
        <w:rPr>
          <w:rFonts w:eastAsia="Times New Roman" w:cs="Times New Roman"/>
          <w:color w:val="000000"/>
        </w:rPr>
        <w:t xml:space="preserve"> Jeigu šiuo laikotarpiu arba tuo metu, kai bandote pastoti, jums reikia gydymo šiuo vaistu, vartokite mažiausią jo dozę ir kaip įmanoma trumpiau</w:t>
      </w:r>
      <w:r w:rsidRPr="00F000C2">
        <w:rPr>
          <w:rFonts w:ascii="Verdana" w:eastAsia="Times New Roman" w:hAnsi="Verdana" w:cs="Verdana"/>
          <w:color w:val="000000"/>
          <w:sz w:val="17"/>
          <w:szCs w:val="17"/>
        </w:rPr>
        <w:t xml:space="preserve">. </w:t>
      </w:r>
      <w:r w:rsidRPr="00F000C2">
        <w:rPr>
          <w:rFonts w:eastAsia="Calibri" w:cs="Times New Roman"/>
        </w:rPr>
        <w:t xml:space="preserve">Vartojamas ilgiau nei kelias dienas nuo 20 nėštumo savaitės, </w:t>
      </w:r>
      <w:r w:rsidRPr="009A3D3E">
        <w:rPr>
          <w:rFonts w:eastAsia="Calibri" w:cs="Times New Roman"/>
        </w:rPr>
        <w:t xml:space="preserve">ibuprofenas </w:t>
      </w:r>
      <w:r w:rsidRPr="00F000C2">
        <w:rPr>
          <w:rFonts w:eastAsia="Calibri" w:cs="Times New Roman"/>
        </w:rPr>
        <w:t>gali sukelti inkstų sutrikimų Jūsų dar negimusiam vaikui ir dėl to gali sumažėti aplink vaiką esančių vaisiaus vandenų kiekis (pasireikšti oligohidramnionas) arba susiaurėti kraujagyslė (arterinis latakas) vaiko širdyje</w:t>
      </w:r>
      <w:r>
        <w:rPr>
          <w:rFonts w:eastAsia="Calibri" w:cs="Times New Roman"/>
        </w:rPr>
        <w:t>.</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Cs/>
          <w:color w:val="000000"/>
        </w:rPr>
        <w:t>Nėštumo ir žindymo laikotarpiu Daikol vartoti negalima</w:t>
      </w:r>
      <w:r w:rsidRPr="00A51F88">
        <w:rPr>
          <w:rFonts w:eastAsia="Times New Roman" w:cs="Times New Roman"/>
          <w:color w:val="000000"/>
        </w:rPr>
        <w:t>. Veikliosios medžiagos: ibuprofenas ir pseudoefedrinas, dar negimusiems vaikams gali sukelti sunkių sutrikimų, be to, nustatyta, kad šių medžiagų būna jomis gydytų moterų krūtimi maitinamų kūdikių organizme.</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Cs/>
          <w:color w:val="000000"/>
        </w:rPr>
        <w:t>Daikol sudėtyje yra ibuprofeno, kuris gali pakenkti moters vaisingumui.</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Vairavimas ir mechanizmų valdymas</w:t>
      </w:r>
    </w:p>
    <w:p w:rsidR="0042719A" w:rsidRPr="00A51F88"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Cs/>
        </w:rPr>
        <w:t xml:space="preserve">Daikol </w:t>
      </w:r>
      <w:r w:rsidRPr="00A51F88">
        <w:rPr>
          <w:rFonts w:eastAsia="Calibri" w:cs="Times New Roman"/>
        </w:rPr>
        <w:t>gebėjimą vairuoti ir valdyti mechanizmus veikia silpnai arba vidutiniškai.</w:t>
      </w:r>
    </w:p>
    <w:p w:rsidR="0042719A" w:rsidRPr="00A51F88" w:rsidRDefault="0042719A" w:rsidP="0042719A">
      <w:pPr>
        <w:autoSpaceDE w:val="0"/>
        <w:autoSpaceDN w:val="0"/>
        <w:adjustRightInd w:val="0"/>
        <w:spacing w:line="240" w:lineRule="auto"/>
        <w:jc w:val="both"/>
        <w:rPr>
          <w:rFonts w:eastAsia="Times New Roman" w:cs="Times New Roman"/>
          <w:bCs/>
        </w:rPr>
      </w:pPr>
      <w:r w:rsidRPr="00A51F88">
        <w:rPr>
          <w:rFonts w:eastAsia="Times New Roman" w:cs="Times New Roman"/>
          <w:bCs/>
        </w:rPr>
        <w:t xml:space="preserve">Daikol </w:t>
      </w:r>
      <w:r w:rsidRPr="00A51F88">
        <w:rPr>
          <w:rFonts w:eastAsia="Calibri" w:cs="Times New Roman"/>
        </w:rPr>
        <w:t>gali sukelti svaigulį, haliucinacijų, neįprastą galvos skausmą ir regos ar klausos sutrikimų, todėl gali laikinai pablogėti Jūsų gebėjimas vairuoti ir valdyti mechanizmus. Jeigu pasireikštų bet kuris iš čia išvardytų simptomų, negalima vairuoti ir valdyti mechanizmų</w:t>
      </w:r>
      <w:r w:rsidRPr="00A51F88">
        <w:rPr>
          <w:rFonts w:eastAsia="Times New Roman" w:cs="Times New Roman"/>
          <w:bCs/>
        </w:rPr>
        <w:t>.</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color w:val="000000"/>
        </w:rPr>
      </w:pPr>
      <w:r w:rsidRPr="00A51F88">
        <w:rPr>
          <w:rFonts w:eastAsia="Times New Roman" w:cs="Times New Roman"/>
          <w:b/>
          <w:color w:val="000000"/>
        </w:rPr>
        <w:t>Daikol sudėtyje yra natrio</w:t>
      </w:r>
    </w:p>
    <w:p w:rsidR="0042719A" w:rsidRPr="00A51F88" w:rsidRDefault="0042719A" w:rsidP="0042719A">
      <w:pPr>
        <w:numPr>
          <w:ilvl w:val="12"/>
          <w:numId w:val="0"/>
        </w:numPr>
        <w:spacing w:line="240" w:lineRule="auto"/>
        <w:ind w:right="-2"/>
        <w:rPr>
          <w:b/>
          <w:szCs w:val="24"/>
        </w:rPr>
      </w:pPr>
      <w:r w:rsidRPr="00A51F88">
        <w:rPr>
          <w:rFonts w:eastAsia="Times New Roman" w:cs="Times New Roman"/>
          <w:color w:val="000000"/>
        </w:rPr>
        <w:t xml:space="preserve">Kiekvienoje šio vaisto tabletėje yra mažiau kaip </w:t>
      </w:r>
      <w:r w:rsidRPr="00A51F88">
        <w:rPr>
          <w:bCs/>
          <w:szCs w:val="24"/>
        </w:rPr>
        <w:t>1 mmol (23 mg) natrio, t. y. jis beveik neturi reikšmės</w:t>
      </w:r>
      <w:r w:rsidRPr="00A51F88">
        <w:rPr>
          <w:b/>
          <w:szCs w:val="24"/>
        </w:rPr>
        <w:t>.</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numPr>
          <w:ilvl w:val="0"/>
          <w:numId w:val="17"/>
        </w:numPr>
        <w:autoSpaceDE w:val="0"/>
        <w:autoSpaceDN w:val="0"/>
        <w:adjustRightInd w:val="0"/>
        <w:spacing w:after="0" w:line="240" w:lineRule="auto"/>
        <w:ind w:left="567" w:hanging="567"/>
        <w:contextualSpacing/>
        <w:jc w:val="both"/>
        <w:rPr>
          <w:rFonts w:eastAsia="Times New Roman" w:cs="Times New Roman"/>
          <w:b/>
          <w:bCs/>
          <w:color w:val="000000"/>
        </w:rPr>
      </w:pPr>
      <w:r w:rsidRPr="00A51F88">
        <w:rPr>
          <w:rFonts w:eastAsia="Times New Roman" w:cs="Times New Roman"/>
          <w:b/>
          <w:bCs/>
          <w:color w:val="000000"/>
        </w:rPr>
        <w:t>Kaip vartoti Daikol</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Visada vartokite šį vaistą tiksliai kaip nurodė gydytojas arba vaistininkas. Jeigu abejojate, kreipkitės į  gydytoją arba vaistininką.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Ibuprofenas ir pseudoefedrino hidrochloridas skirtas vartoti tik per burną.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
          <w:bCs/>
          <w:color w:val="000000"/>
        </w:rPr>
        <w:t>Rekomenduojama dozė yra:</w:t>
      </w:r>
    </w:p>
    <w:p w:rsidR="0042719A" w:rsidRPr="00A51F88" w:rsidRDefault="0042719A" w:rsidP="0042719A">
      <w:pPr>
        <w:spacing w:line="240" w:lineRule="auto"/>
        <w:rPr>
          <w:rFonts w:eastAsia="Verdana" w:cs="Times New Roman"/>
          <w:lang w:eastAsia="en-GB"/>
        </w:rPr>
      </w:pPr>
      <w:r w:rsidRPr="00A51F88">
        <w:rPr>
          <w:rFonts w:eastAsia="Verdana" w:cs="Times New Roman"/>
          <w:lang w:eastAsia="en-GB"/>
        </w:rPr>
        <w:t>Rekomenduojama dozė suaugusiesiems ir paaugliams nuo 15 metų yra po 1 tabletę kas 6 val. pagal poreikį. Jeigu simptomai sunkesni, vartokite po 2 tabletes kas 6 val. pagal poreikį.</w:t>
      </w:r>
    </w:p>
    <w:p w:rsidR="0042719A" w:rsidRPr="00A51F88" w:rsidRDefault="0042719A" w:rsidP="0042719A">
      <w:pPr>
        <w:spacing w:line="240" w:lineRule="auto"/>
        <w:rPr>
          <w:rFonts w:eastAsia="Verdana" w:cs="Times New Roman"/>
          <w:lang w:eastAsia="en-GB"/>
        </w:rPr>
      </w:pPr>
    </w:p>
    <w:p w:rsidR="0042719A" w:rsidRDefault="0042719A" w:rsidP="0042719A">
      <w:pPr>
        <w:spacing w:line="240" w:lineRule="auto"/>
        <w:rPr>
          <w:rFonts w:eastAsia="Verdana" w:cs="Times New Roman"/>
          <w:lang w:eastAsia="en-GB"/>
        </w:rPr>
      </w:pPr>
      <w:r w:rsidRPr="00A51F88">
        <w:rPr>
          <w:rFonts w:eastAsia="Verdana" w:cs="Times New Roman"/>
          <w:lang w:eastAsia="en-GB"/>
        </w:rPr>
        <w:t>Negalima viršyti didžiausios dozės, t. y. 6 tablečių per parą.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Tabletes reikia nuryti užgeriant vandeniu, pageidautina valgio metu. Negalima laužti ar smulkinti tablečių.</w:t>
      </w:r>
    </w:p>
    <w:p w:rsidR="0042719A" w:rsidRPr="00A51F88" w:rsidRDefault="0042719A" w:rsidP="0042719A">
      <w:pPr>
        <w:autoSpaceDE w:val="0"/>
        <w:autoSpaceDN w:val="0"/>
        <w:adjustRightInd w:val="0"/>
        <w:spacing w:line="240" w:lineRule="auto"/>
        <w:jc w:val="both"/>
        <w:rPr>
          <w:rFonts w:eastAsia="Times New Roman" w:cs="Times New Roman"/>
          <w:b/>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u w:val="single"/>
        </w:rPr>
      </w:pPr>
      <w:r w:rsidRPr="00A51F88">
        <w:rPr>
          <w:rFonts w:eastAsia="Times New Roman" w:cs="Times New Roman"/>
          <w:color w:val="000000"/>
          <w:u w:val="single"/>
        </w:rPr>
        <w:t>Gydymo trukmė</w:t>
      </w:r>
    </w:p>
    <w:p w:rsidR="0042719A" w:rsidRDefault="0042719A" w:rsidP="0042719A">
      <w:pPr>
        <w:spacing w:line="240" w:lineRule="auto"/>
        <w:ind w:right="-2"/>
        <w:rPr>
          <w:rFonts w:eastAsia="Calibri" w:cs="Times New Roman"/>
        </w:rPr>
      </w:pPr>
      <w:r w:rsidRPr="00A51F88">
        <w:rPr>
          <w:rFonts w:eastAsia="Times New Roman" w:cs="Times New Roman"/>
          <w:color w:val="000000"/>
        </w:rPr>
        <w:t xml:space="preserve">Šis vaistas yra skirtas tik trumpalaikiam vartojimui. Jūs turėtumėte naudoti mažiausią vaisto dozę trumpiausią laiką, būtiną numalšinti simptomams. </w:t>
      </w:r>
      <w:r w:rsidRPr="00A51F88">
        <w:rPr>
          <w:rFonts w:eastAsia="Calibri" w:cs="Times New Roman"/>
        </w:rPr>
        <w:t>Jeigu simptomai pasunkėtų arba šio vaisto reikėtų vartoti ilgiau kaip 4 dienas suaugusiajam arba ilgiau kaip 3 dienas vyresniam kaip 15 metų paaugliui, pasikonsultuokite su gydytoju.</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
          <w:bCs/>
          <w:color w:val="000000"/>
        </w:rPr>
        <w:t>Ką daryti pavartojus per didelę Daikol dozę?</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Cs/>
          <w:color w:val="000000"/>
        </w:rPr>
        <w:t>Reikia nedelsiant kreiptis į gydytoją</w:t>
      </w:r>
      <w:r w:rsidRPr="00A51F88">
        <w:rPr>
          <w:rFonts w:eastAsia="Times New Roman" w:cs="Times New Roman"/>
          <w:b/>
          <w:bCs/>
          <w:color w:val="000000"/>
        </w:rPr>
        <w:t xml:space="preserve">, </w:t>
      </w:r>
      <w:r w:rsidRPr="00A51F88">
        <w:rPr>
          <w:rFonts w:eastAsia="Times New Roman" w:cs="Times New Roman"/>
          <w:bCs/>
          <w:color w:val="000000"/>
        </w:rPr>
        <w:t>jei Jūs ar kas nors kitas atsitiktinai išgėrė didesnę Daikol dozę nei rekomenduojama.</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Jei suvartojote per didelę Daikol dozę arba jei vaikai atsitiktinai suvartojo šio vaisto, visada kreipkitės į gydytoją ar artimiausią ligoninę, kad jie išreikštų savo nuomonę dėl galimos rizikos ir patartų, kokių veiksmų reikia imtis.</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svaigulys, kraujas šlapime, šąlančio kūno jausmas ir kvėpavimo sutrikimai.</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Pamiršus pavartoti Daikol</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Negalima vartoti dvigubos dozės norint kompensuoti praleistą dozę.</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color w:val="000000"/>
        </w:rPr>
      </w:pPr>
      <w:r w:rsidRPr="00A51F88">
        <w:rPr>
          <w:rFonts w:eastAsia="Times New Roman" w:cs="Times New Roman"/>
          <w:b/>
          <w:color w:val="000000"/>
        </w:rPr>
        <w:t>Nustojus vartoti Daikol</w:t>
      </w: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Jeigu kiltų daugiau klausimų dėl šio vaisto vartojimo, kreipkitės į gydytoją arba vaistininką.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pStyle w:val="ListParagraph"/>
        <w:numPr>
          <w:ilvl w:val="0"/>
          <w:numId w:val="17"/>
        </w:numPr>
        <w:autoSpaceDE w:val="0"/>
        <w:autoSpaceDN w:val="0"/>
        <w:adjustRightInd w:val="0"/>
        <w:spacing w:line="240" w:lineRule="auto"/>
        <w:ind w:left="567" w:hanging="567"/>
        <w:jc w:val="both"/>
        <w:rPr>
          <w:rFonts w:eastAsia="Times New Roman" w:cs="Times New Roman"/>
          <w:b/>
          <w:bCs/>
          <w:color w:val="000000"/>
        </w:rPr>
      </w:pPr>
      <w:r w:rsidRPr="00A51F88">
        <w:rPr>
          <w:rFonts w:eastAsia="Times New Roman" w:cs="Times New Roman"/>
          <w:b/>
          <w:bCs/>
          <w:color w:val="000000"/>
        </w:rPr>
        <w:t>Galimas šalutinis poveikis</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Šis vaistas, kaip ir visi kiti, gali sukelti šalutinį poveikį, nors jis pasireiškia ne visiems žmonėms.</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color w:val="000000"/>
        </w:rPr>
      </w:pPr>
      <w:r w:rsidRPr="00A51F88">
        <w:rPr>
          <w:rFonts w:eastAsia="Times New Roman" w:cs="Times New Roman"/>
          <w:b/>
          <w:bCs/>
          <w:color w:val="000000"/>
        </w:rPr>
        <w:t>NUSTOKITE VARTOTI Daikol</w:t>
      </w:r>
      <w:r w:rsidRPr="00A51F88">
        <w:rPr>
          <w:rFonts w:eastAsia="Times New Roman" w:cs="Times New Roman"/>
          <w:b/>
          <w:color w:val="000000"/>
        </w:rPr>
        <w:t xml:space="preserve"> ir nedelsdami kreipkitės medicininės pagalbos</w:t>
      </w:r>
      <w:r w:rsidRPr="00A51F88">
        <w:rPr>
          <w:rFonts w:eastAsia="Times New Roman" w:cs="Times New Roman"/>
          <w:b/>
          <w:bCs/>
          <w:color w:val="000000"/>
        </w:rPr>
        <w:t>:</w:t>
      </w:r>
    </w:p>
    <w:p w:rsidR="0042719A" w:rsidRPr="00A51F88" w:rsidRDefault="0042719A" w:rsidP="0042719A">
      <w:pPr>
        <w:numPr>
          <w:ilvl w:val="0"/>
          <w:numId w:val="12"/>
        </w:numPr>
        <w:autoSpaceDE w:val="0"/>
        <w:autoSpaceDN w:val="0"/>
        <w:adjustRightInd w:val="0"/>
        <w:spacing w:after="0" w:line="240" w:lineRule="auto"/>
        <w:jc w:val="both"/>
        <w:rPr>
          <w:rFonts w:eastAsia="Times New Roman" w:cs="Times New Roman"/>
          <w:b/>
          <w:bCs/>
          <w:color w:val="000000"/>
        </w:rPr>
      </w:pPr>
      <w:r w:rsidRPr="00A51F88">
        <w:rPr>
          <w:rFonts w:eastAsia="Times New Roman" w:cs="Times New Roman"/>
          <w:color w:val="000000"/>
        </w:rPr>
        <w:t xml:space="preserve">Jei pastebėjote bet kurį iš toliau nurodomų požymių, kurie gali būti sunkių </w:t>
      </w:r>
      <w:r w:rsidRPr="00A51F88">
        <w:rPr>
          <w:rFonts w:eastAsia="Times New Roman" w:cs="Times New Roman"/>
          <w:b/>
          <w:color w:val="000000"/>
        </w:rPr>
        <w:t>alerginių reakcijų ženklai</w:t>
      </w:r>
      <w:r w:rsidRPr="00A51F88">
        <w:rPr>
          <w:rFonts w:eastAsia="Times New Roman" w:cs="Times New Roman"/>
          <w:color w:val="000000"/>
        </w:rPr>
        <w:t>:</w:t>
      </w:r>
    </w:p>
    <w:p w:rsidR="0042719A" w:rsidRPr="00A51F88" w:rsidRDefault="0042719A" w:rsidP="0042719A">
      <w:pPr>
        <w:numPr>
          <w:ilvl w:val="0"/>
          <w:numId w:val="13"/>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pasunkėjęs kvėpavimas ar rijimas;</w:t>
      </w:r>
    </w:p>
    <w:p w:rsidR="0042719A" w:rsidRPr="00A51F88" w:rsidRDefault="0042719A" w:rsidP="0042719A">
      <w:pPr>
        <w:numPr>
          <w:ilvl w:val="0"/>
          <w:numId w:val="13"/>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veido, lūpų, liežuvio ar gerklės patinimas;</w:t>
      </w:r>
    </w:p>
    <w:p w:rsidR="0042719A" w:rsidRPr="00A51F88" w:rsidRDefault="0042719A" w:rsidP="0042719A">
      <w:pPr>
        <w:numPr>
          <w:ilvl w:val="0"/>
          <w:numId w:val="13"/>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sunkus odos niežėjimas su dilgėline (dilgėlinės tipo išbėrimas);</w:t>
      </w:r>
    </w:p>
    <w:p w:rsidR="0042719A" w:rsidRPr="00A51F88" w:rsidRDefault="0042719A" w:rsidP="0042719A">
      <w:pPr>
        <w:numPr>
          <w:ilvl w:val="0"/>
          <w:numId w:val="13"/>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sunkios odos reakcijos, įskaitant pūslių atsiradimą po oda;</w:t>
      </w:r>
    </w:p>
    <w:p w:rsidR="0042719A" w:rsidRPr="00A51F88" w:rsidRDefault="0042719A" w:rsidP="0042719A">
      <w:pPr>
        <w:numPr>
          <w:ilvl w:val="0"/>
          <w:numId w:val="13"/>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širdies plakimo padažnėjimas kartu su kraujospūdžio sumažėjimu.</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Jeigu pastebite žarnyno kraujavimo požymių, tokių kaip:</w:t>
      </w:r>
    </w:p>
    <w:p w:rsidR="0042719A" w:rsidRPr="00A51F88" w:rsidRDefault="0042719A" w:rsidP="0042719A">
      <w:pPr>
        <w:pStyle w:val="ListParagraph"/>
        <w:numPr>
          <w:ilvl w:val="0"/>
          <w:numId w:val="18"/>
        </w:num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ryškiai raudonos išmatos, juodos, deguto spalvos išmatos, vėmimas krauju ar tamsiomis dalelėmis, kaip kavos tirščiai.</w:t>
      </w:r>
    </w:p>
    <w:p w:rsidR="0042719A" w:rsidRPr="00A51F88" w:rsidRDefault="0042719A" w:rsidP="0042719A">
      <w:pPr>
        <w:autoSpaceDE w:val="0"/>
        <w:autoSpaceDN w:val="0"/>
        <w:adjustRightInd w:val="0"/>
        <w:spacing w:line="240" w:lineRule="auto"/>
        <w:jc w:val="both"/>
        <w:rPr>
          <w:rFonts w:eastAsia="Times New Roman" w:cs="Times New Roman"/>
        </w:rPr>
      </w:pPr>
    </w:p>
    <w:p w:rsidR="0042719A" w:rsidRPr="00A51F88" w:rsidRDefault="0042719A" w:rsidP="0042719A">
      <w:pPr>
        <w:rPr>
          <w:rFonts w:eastAsia="Calibri" w:cs="Times New Roman"/>
        </w:rPr>
      </w:pPr>
      <w:r w:rsidRPr="00A51F88">
        <w:rPr>
          <w:rFonts w:eastAsia="Calibri" w:cs="Times New Roman"/>
        </w:rPr>
        <w:t>Tokie vaistai, kaip Daikol, gali būti susiję su širdies priepuolio (miokardo infarkto) ar insulto pavojaus nedideliu padidėjimu.</w:t>
      </w:r>
    </w:p>
    <w:p w:rsidR="0042719A" w:rsidRPr="00A51F88" w:rsidRDefault="0042719A" w:rsidP="0042719A">
      <w:pPr>
        <w:rPr>
          <w:rFonts w:eastAsia="Calibri" w:cs="Times New Roman"/>
        </w:rPr>
      </w:pPr>
    </w:p>
    <w:p w:rsidR="0042719A" w:rsidRPr="00A51F88" w:rsidRDefault="0042719A" w:rsidP="0042719A">
      <w:pPr>
        <w:spacing w:line="240" w:lineRule="auto"/>
        <w:rPr>
          <w:rFonts w:eastAsia="Calibri" w:cs="Times New Roman"/>
          <w:bCs/>
          <w:i/>
        </w:rPr>
      </w:pPr>
      <w:r w:rsidRPr="006A04B9">
        <w:rPr>
          <w:rFonts w:eastAsia="Calibri" w:cs="Times New Roman"/>
          <w:b/>
          <w:bCs/>
          <w:iCs/>
        </w:rPr>
        <w:t>Dažni</w:t>
      </w:r>
      <w:r w:rsidRPr="00A51F88">
        <w:rPr>
          <w:rFonts w:eastAsia="Calibri" w:cs="Times New Roman"/>
          <w:i/>
        </w:rPr>
        <w:t xml:space="preserve"> </w:t>
      </w:r>
      <w:r w:rsidRPr="009A3D3E">
        <w:rPr>
          <w:rFonts w:eastAsia="Times New Roman" w:cs="Times New Roman"/>
          <w:b/>
          <w:bCs/>
          <w:noProof/>
          <w:snapToGrid w:val="0"/>
        </w:rPr>
        <w:t>šalutinio poveikio reiškiniai (gali pasireikšti rečiau kaip 1 iš 10 asmenų)</w:t>
      </w:r>
      <w:r w:rsidRPr="009A3D3E">
        <w:rPr>
          <w:rFonts w:eastAsia="Times New Roman" w:cs="Times New Roman"/>
          <w:b/>
          <w:bCs/>
        </w:rPr>
        <w:t>:</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skrandžio sutrikimai, tokie kaip diskomfortas pilve, pilvo skausmai, pykinimas, vėmimas, pilvo pūtimas, viduriavimas, vidurių užkietėjimas.</w:t>
      </w:r>
    </w:p>
    <w:p w:rsidR="0042719A" w:rsidRPr="00A51F88" w:rsidRDefault="0042719A" w:rsidP="0042719A">
      <w:pPr>
        <w:spacing w:line="240" w:lineRule="auto"/>
        <w:rPr>
          <w:rFonts w:eastAsia="Calibri" w:cs="Times New Roman"/>
        </w:rPr>
      </w:pPr>
    </w:p>
    <w:p w:rsidR="0042719A" w:rsidRPr="006A04B9" w:rsidRDefault="0042719A" w:rsidP="0042719A">
      <w:pPr>
        <w:autoSpaceDE w:val="0"/>
        <w:autoSpaceDN w:val="0"/>
        <w:adjustRightInd w:val="0"/>
        <w:spacing w:line="240" w:lineRule="auto"/>
        <w:jc w:val="both"/>
        <w:rPr>
          <w:rFonts w:eastAsia="Times New Roman" w:cs="Times New Roman"/>
          <w:b/>
          <w:iCs/>
          <w:color w:val="000000"/>
        </w:rPr>
      </w:pPr>
      <w:r w:rsidRPr="009A3D3E">
        <w:rPr>
          <w:rFonts w:eastAsia="Times New Roman" w:cs="Times New Roman"/>
          <w:b/>
          <w:bCs/>
          <w:noProof/>
          <w:snapToGrid w:val="0"/>
        </w:rPr>
        <w:t xml:space="preserve">Šalutinio poveikio reiškiniai, kurių </w:t>
      </w:r>
      <w:r>
        <w:rPr>
          <w:rFonts w:eastAsia="Times New Roman" w:cs="Times New Roman"/>
          <w:b/>
          <w:color w:val="000000"/>
        </w:rPr>
        <w:t>d</w:t>
      </w:r>
      <w:r w:rsidRPr="006A04B9">
        <w:rPr>
          <w:rFonts w:eastAsia="Times New Roman" w:cs="Times New Roman"/>
          <w:b/>
          <w:color w:val="000000"/>
        </w:rPr>
        <w:t xml:space="preserve">ažnis nežinomas </w:t>
      </w:r>
      <w:r w:rsidRPr="006A04B9">
        <w:rPr>
          <w:rFonts w:eastAsia="Times New Roman" w:cs="Times New Roman"/>
          <w:b/>
          <w:iCs/>
          <w:color w:val="000000"/>
        </w:rPr>
        <w:t>(negali būti apskaičiuotas pagal turimus duomenis):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nedidelis kraujavimas iš virškinimo trakto, retais atvejais sukeliantis mažakraujystę;</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galvos skausmas, svaigulys, nemiga, sujaudinimas, dirglumas arba nuovargis;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regos sutrikimai;</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pilvo skausmas arba opa, kartais su kraujavimu arba perforacija, gastritas, opinis stomatitas, paūmėjęs opinis kolitas ir Krono liga;</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padidėjusio jautrumo reakcijos, pasireiškiančios išbėrimu ir niežėjimu, bei astmos priepuolis;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galvos skausmas, svaigulys ir haliucinacijos;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nervingumas, drebėjimas, haliucinacijos;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inkstų audinių pažeidimas, padidėjusi šlapimo rūgšties koncentracija kraujyje;</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infekciniai uždegimai, meningito simptomai (galvos skausmas, pykinimas, vėmimas, karščiavimas, kaklo sustingimas, dezorientacija, ypač sergantiems autoimuninėmis ligomis);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kraujo sutrikimai (anemija, leukopenija, trombocitopenija, pancitopenija, agranulocitozė). Pirmieji požymiai: karščiavimas, gerklės skausmas, paviršinės burnos gleivinės opos, į gripą panašūs simptomai, sunkus išsekimas, neaiškios kilmės kraujavimas iš nosies ir kraujosruvos;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sunkios alerginės reakcijos (simptomai gali būti: veido edema, angioedema, dusulys, tachikardija, kraujospūdžio sumažėjimas, šokas);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psichozės reakcijos, depresija;</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širdies nepakankamumo pasunkėjimas, pasireiškiantis edemomis (patinimais), aukštas kraujospūdis, stiprus širdies plakimas, miokardo infarktas;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inkstų nepakankamumas ar kiti inkstų sutrikimai;</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kepenų sutrikimai;</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sunkios odos reakcijos (pūsliniai odos išbėrimai);</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hemoraginis insultas, išeminis insultas, traukuliai, galvos skausmas;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burnos džiūvimas, troškulys, pykinimas, vėmimas;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prakaitavimas;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šlapimo susilaikymas, daugiausiai pacientams, sergantiems prostatos hipertrofija.</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gali pasireikšti stipri odos reakcija, vadinama DRESS sindromu. DRESS simptomai gali būti tokie: odos išbėrimas, karščiavimas, padidėję limfmazgiai ir padidėjęs eozinofilų (baltųjų kraujo kūnelių rūšis) skaičius;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oda įsijautrina šviesai;</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gaubtinės žarnos uždegimas dėl nepakankamo aprūpinimo krauju (išeminis kolitas);</w:t>
      </w:r>
    </w:p>
    <w:p w:rsidR="0042719A" w:rsidRPr="00A51F88"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Daikol vartojimą ir nedelsdami kreipkitės medicininės pagalbos. Taip pat žr. 2 skyrių.</w:t>
      </w:r>
    </w:p>
    <w:p w:rsidR="0042719A" w:rsidRDefault="0042719A" w:rsidP="0042719A">
      <w:pPr>
        <w:numPr>
          <w:ilvl w:val="0"/>
          <w:numId w:val="14"/>
        </w:numPr>
        <w:autoSpaceDE w:val="0"/>
        <w:autoSpaceDN w:val="0"/>
        <w:adjustRightInd w:val="0"/>
        <w:spacing w:after="0" w:line="240" w:lineRule="auto"/>
        <w:jc w:val="both"/>
        <w:rPr>
          <w:rFonts w:eastAsia="Times New Roman" w:cs="Times New Roman"/>
          <w:color w:val="000000"/>
        </w:rPr>
      </w:pPr>
      <w:r w:rsidRPr="00A51F88">
        <w:rPr>
          <w:rFonts w:eastAsia="Times New Roman" w:cs="Times New Roman"/>
          <w:color w:val="000000"/>
        </w:rPr>
        <w:t>sumažėjęs regos nervo aprūpinimas krauju (išeminė optinė neuropatija).</w:t>
      </w:r>
    </w:p>
    <w:p w:rsidR="0042719A" w:rsidRPr="00A51F88" w:rsidRDefault="0042719A" w:rsidP="0042719A">
      <w:pPr>
        <w:tabs>
          <w:tab w:val="left" w:pos="567"/>
        </w:tabs>
        <w:autoSpaceDE w:val="0"/>
        <w:autoSpaceDN w:val="0"/>
        <w:adjustRightInd w:val="0"/>
        <w:spacing w:line="240" w:lineRule="auto"/>
        <w:ind w:left="567"/>
        <w:jc w:val="both"/>
        <w:rPr>
          <w:rFonts w:eastAsia="Times New Roman" w:cs="Times New Roman"/>
          <w:color w:val="000000"/>
        </w:rPr>
      </w:pPr>
    </w:p>
    <w:p w:rsidR="0042719A" w:rsidRPr="00A51F88" w:rsidRDefault="0042719A" w:rsidP="0042719A">
      <w:pPr>
        <w:tabs>
          <w:tab w:val="left" w:pos="567"/>
        </w:tabs>
        <w:spacing w:line="240" w:lineRule="auto"/>
        <w:rPr>
          <w:rFonts w:eastAsia="Times New Roman" w:cs="Times New Roman"/>
          <w:b/>
          <w:snapToGrid w:val="0"/>
        </w:rPr>
      </w:pPr>
      <w:r w:rsidRPr="00A51F88">
        <w:rPr>
          <w:rFonts w:eastAsia="Times New Roman" w:cs="Times New Roman"/>
          <w:b/>
          <w:snapToGrid w:val="0"/>
        </w:rPr>
        <w:t>Pranešimas apie šalutinį poveikį</w:t>
      </w:r>
    </w:p>
    <w:p w:rsidR="0042719A" w:rsidRPr="00A51F88" w:rsidRDefault="0042719A" w:rsidP="0042719A">
      <w:pPr>
        <w:tabs>
          <w:tab w:val="left" w:pos="567"/>
        </w:tabs>
        <w:spacing w:line="240" w:lineRule="auto"/>
        <w:ind w:right="-449"/>
        <w:rPr>
          <w:rFonts w:eastAsia="Times New Roman" w:cs="Times New Roman"/>
          <w:snapToGrid w:val="0"/>
        </w:rPr>
      </w:pPr>
      <w:r w:rsidRPr="00A51F88">
        <w:rPr>
          <w:rFonts w:eastAsia="Times New Roman" w:cs="Times New Roman"/>
          <w:snapToGrid w:val="0"/>
        </w:rPr>
        <w:t xml:space="preserve">Jeigu pasireiškė šalutinis poveikis, įskaitant šiame lapelyje nenurodytą, pasakykite gydytojui arba vaistininkui. </w:t>
      </w:r>
      <w:r w:rsidRPr="009A3D3E">
        <w:rPr>
          <w:rFonts w:eastAsia="Times New Roman" w:cs="Times New Roman"/>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9A3D3E">
          <w:rPr>
            <w:rFonts w:eastAsia="Times New Roman" w:cs="Times New Roman"/>
            <w:snapToGrid w:val="0"/>
            <w:color w:val="0000FF"/>
            <w:szCs w:val="20"/>
            <w:u w:val="single"/>
          </w:rPr>
          <w:t>https://vapris.vvkt.lt/vvkt-web/public/nrv</w:t>
        </w:r>
      </w:hyperlink>
      <w:r w:rsidRPr="009A3D3E">
        <w:rPr>
          <w:rFonts w:eastAsia="Times New Roman" w:cs="Times New Roman"/>
          <w:snapToGrid w:val="0"/>
          <w:szCs w:val="20"/>
        </w:rPr>
        <w:t xml:space="preserve"> arba užpildant Paciento pranešimo apie įtariamą nepageidaujamą reakciją (ĮNR) formą, kuri skelbiama </w:t>
      </w:r>
      <w:hyperlink r:id="rId6" w:history="1">
        <w:r w:rsidRPr="009A3D3E">
          <w:rPr>
            <w:rFonts w:eastAsia="Times New Roman" w:cs="Times New Roman"/>
            <w:snapToGrid w:val="0"/>
            <w:color w:val="0000FF"/>
            <w:szCs w:val="20"/>
            <w:u w:val="single"/>
          </w:rPr>
          <w:t>https://www.vvkt.lt/index.php?4004286486</w:t>
        </w:r>
      </w:hyperlink>
      <w:r w:rsidRPr="009A3D3E">
        <w:rPr>
          <w:rFonts w:eastAsia="Times New Roman" w:cs="Times New Roman"/>
          <w:snapToGrid w:val="0"/>
          <w:szCs w:val="20"/>
        </w:rPr>
        <w:t xml:space="preserve">, ir atsiunčiant elektroniniu paštu (adresu </w:t>
      </w:r>
      <w:hyperlink r:id="rId7" w:history="1">
        <w:r w:rsidRPr="009A3D3E">
          <w:rPr>
            <w:rFonts w:eastAsia="Times New Roman" w:cs="Times New Roman"/>
            <w:snapToGrid w:val="0"/>
            <w:color w:val="0000FF"/>
            <w:szCs w:val="20"/>
            <w:u w:val="single"/>
          </w:rPr>
          <w:t>NepageidaujamaR@vvkt.lt</w:t>
        </w:r>
      </w:hyperlink>
      <w:r w:rsidRPr="009A3D3E">
        <w:rPr>
          <w:rFonts w:eastAsia="Times New Roman" w:cs="Times New Roman"/>
          <w:snapToGrid w:val="0"/>
          <w:szCs w:val="20"/>
        </w:rPr>
        <w:t>) arba nemokamu telefonu 8 800 73 568. Pranešdami apie šalutinį poveikį galite mums padėti gauti daugiau informacijos apie šio vaisto saugumą</w:t>
      </w:r>
      <w:r w:rsidRPr="00A51F88">
        <w:rPr>
          <w:rFonts w:eastAsia="Times New Roman" w:cs="Times New Roman"/>
          <w:snapToGrid w:val="0"/>
        </w:rPr>
        <w:t>.</w:t>
      </w:r>
    </w:p>
    <w:p w:rsidR="0042719A" w:rsidRPr="00A51F88" w:rsidRDefault="0042719A" w:rsidP="0042719A">
      <w:pPr>
        <w:tabs>
          <w:tab w:val="left" w:pos="567"/>
        </w:tabs>
        <w:spacing w:line="240" w:lineRule="auto"/>
        <w:ind w:right="-449"/>
        <w:rPr>
          <w:rFonts w:eastAsia="Times New Roman" w:cs="Times New Roman"/>
          <w:snapToGrid w:val="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ind w:left="567" w:hanging="567"/>
        <w:jc w:val="both"/>
        <w:rPr>
          <w:rFonts w:eastAsia="Times New Roman" w:cs="Times New Roman"/>
          <w:b/>
          <w:bCs/>
          <w:color w:val="000000"/>
        </w:rPr>
      </w:pPr>
      <w:r w:rsidRPr="00A51F88">
        <w:rPr>
          <w:rFonts w:eastAsia="Times New Roman" w:cs="Times New Roman"/>
          <w:b/>
          <w:bCs/>
          <w:color w:val="000000"/>
        </w:rPr>
        <w:t>5.</w:t>
      </w:r>
      <w:r w:rsidRPr="00A51F88">
        <w:rPr>
          <w:rFonts w:eastAsia="Times New Roman" w:cs="Times New Roman"/>
          <w:b/>
          <w:bCs/>
          <w:color w:val="000000"/>
        </w:rPr>
        <w:tab/>
        <w:t>Kaip laikyti Daikol</w:t>
      </w:r>
    </w:p>
    <w:p w:rsidR="0042719A" w:rsidRPr="00A51F88" w:rsidRDefault="0042719A" w:rsidP="0042719A">
      <w:pPr>
        <w:autoSpaceDE w:val="0"/>
        <w:autoSpaceDN w:val="0"/>
        <w:adjustRightInd w:val="0"/>
        <w:spacing w:line="240" w:lineRule="auto"/>
        <w:ind w:left="567" w:hanging="567"/>
        <w:jc w:val="both"/>
        <w:rPr>
          <w:rFonts w:eastAsia="Times New Roman" w:cs="Times New Roman"/>
          <w:b/>
          <w:bCs/>
          <w:color w:val="000000"/>
        </w:rPr>
      </w:pPr>
    </w:p>
    <w:p w:rsidR="0042719A" w:rsidRPr="00A51F88" w:rsidRDefault="0042719A" w:rsidP="0042719A">
      <w:pPr>
        <w:autoSpaceDE w:val="0"/>
        <w:autoSpaceDN w:val="0"/>
        <w:adjustRightInd w:val="0"/>
        <w:spacing w:line="240" w:lineRule="auto"/>
        <w:jc w:val="both"/>
        <w:rPr>
          <w:rFonts w:eastAsia="Times New Roman" w:cs="Times New Roman"/>
          <w:bCs/>
          <w:color w:val="000000"/>
        </w:rPr>
      </w:pPr>
      <w:r w:rsidRPr="00A51F88">
        <w:rPr>
          <w:rFonts w:eastAsia="Times New Roman" w:cs="Times New Roman"/>
          <w:bCs/>
          <w:color w:val="000000"/>
        </w:rPr>
        <w:t>Šį vaistą laikykite vaikams nepastebimoje ir nepasiekiamoje vietoje.</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Šiam vaistui specialių laikymo sąlygų nereikia.</w:t>
      </w:r>
    </w:p>
    <w:p w:rsidR="0042719A" w:rsidRPr="00A51F88" w:rsidRDefault="0042719A" w:rsidP="0042719A">
      <w:pPr>
        <w:numPr>
          <w:ilvl w:val="12"/>
          <w:numId w:val="0"/>
        </w:numPr>
        <w:spacing w:line="240" w:lineRule="auto"/>
        <w:ind w:right="-2"/>
        <w:rPr>
          <w:rFonts w:eastAsia="Calibri" w:cs="Times New Roman"/>
        </w:rPr>
      </w:pPr>
    </w:p>
    <w:p w:rsidR="0042719A" w:rsidRPr="00A51F88" w:rsidRDefault="0042719A" w:rsidP="0042719A">
      <w:pPr>
        <w:numPr>
          <w:ilvl w:val="12"/>
          <w:numId w:val="0"/>
        </w:numPr>
        <w:spacing w:line="240" w:lineRule="auto"/>
        <w:ind w:right="-2"/>
        <w:rPr>
          <w:rFonts w:eastAsia="Calibri" w:cs="Times New Roman"/>
        </w:rPr>
      </w:pPr>
      <w:r w:rsidRPr="00A51F88">
        <w:rPr>
          <w:rFonts w:eastAsia="Calibri" w:cs="Times New Roman"/>
        </w:rPr>
        <w:t>Ant lizdinės plokštelės ir dėžutės po ,,Tinka iki</w:t>
      </w:r>
      <w:r w:rsidRPr="00A51F88">
        <w:rPr>
          <w:rFonts w:eastAsia="Calibri" w:cs="Times New Roman"/>
          <w:highlight w:val="lightGray"/>
        </w:rPr>
        <w:t>/EXP</w:t>
      </w:r>
      <w:r w:rsidRPr="00A51F88">
        <w:rPr>
          <w:rFonts w:eastAsia="Calibri" w:cs="Times New Roman"/>
        </w:rPr>
        <w:t>” nurodytam tinkamumo laikui pasibaigus, šio vaisto vartoti negalima. Vaistas tinkamas vartoti iki paskutinės nurodyto mėnesio dienos.</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color w:val="000000"/>
        </w:rPr>
        <w:t>Vaistų negalima išmesti į kanalizaciją arba su buitinėmis atliekomis. Kaip išmesti nereikalingus vaistus, klauskite vaistininko. Šios priemonės padės apsaugoti aplinką.</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ind w:left="567" w:hanging="567"/>
        <w:jc w:val="both"/>
        <w:rPr>
          <w:rFonts w:eastAsia="Times New Roman" w:cs="Times New Roman"/>
          <w:b/>
          <w:bCs/>
          <w:color w:val="000000"/>
        </w:rPr>
      </w:pPr>
      <w:r w:rsidRPr="00A51F88">
        <w:rPr>
          <w:rFonts w:eastAsia="Times New Roman" w:cs="Times New Roman"/>
          <w:b/>
          <w:bCs/>
          <w:color w:val="000000"/>
        </w:rPr>
        <w:t>6.</w:t>
      </w:r>
      <w:r w:rsidRPr="00A51F88">
        <w:rPr>
          <w:rFonts w:eastAsia="Times New Roman" w:cs="Times New Roman"/>
          <w:b/>
          <w:bCs/>
          <w:color w:val="000000"/>
        </w:rPr>
        <w:tab/>
        <w:t>Pakuotės turinys ir kita informacija</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color w:val="000000"/>
        </w:rPr>
      </w:pPr>
      <w:r w:rsidRPr="00A51F88">
        <w:rPr>
          <w:rFonts w:eastAsia="Times New Roman" w:cs="Times New Roman"/>
          <w:b/>
          <w:bCs/>
          <w:color w:val="000000"/>
        </w:rPr>
        <w:t>Daikol sudėtis</w:t>
      </w:r>
    </w:p>
    <w:p w:rsidR="0042719A" w:rsidRPr="00A51F88" w:rsidRDefault="0042719A" w:rsidP="0042719A">
      <w:pPr>
        <w:numPr>
          <w:ilvl w:val="0"/>
          <w:numId w:val="15"/>
        </w:numPr>
        <w:autoSpaceDE w:val="0"/>
        <w:autoSpaceDN w:val="0"/>
        <w:adjustRightInd w:val="0"/>
        <w:spacing w:after="0" w:line="240" w:lineRule="auto"/>
        <w:rPr>
          <w:rFonts w:eastAsia="Times New Roman" w:cs="Times New Roman"/>
          <w:color w:val="000000"/>
        </w:rPr>
      </w:pPr>
      <w:r w:rsidRPr="00A51F88">
        <w:rPr>
          <w:rFonts w:eastAsia="Times New Roman" w:cs="Times New Roman"/>
          <w:color w:val="000000"/>
        </w:rPr>
        <w:t>Veikliosios medžiagos yra ibuprofenas ir pseudoefedrino hidrochloridas. Kiekvienoje plėvele dengtoje tabletėje yra 200 mg ibuprofeno ir 30 mg pseudoefedrino hidrochlorido, atitinkančio 24,6 mg pseudoefedrino</w:t>
      </w:r>
    </w:p>
    <w:p w:rsidR="0042719A" w:rsidRPr="00A51F88" w:rsidRDefault="0042719A" w:rsidP="0042719A">
      <w:pPr>
        <w:numPr>
          <w:ilvl w:val="0"/>
          <w:numId w:val="15"/>
        </w:numPr>
        <w:autoSpaceDE w:val="0"/>
        <w:autoSpaceDN w:val="0"/>
        <w:adjustRightInd w:val="0"/>
        <w:spacing w:after="0" w:line="240" w:lineRule="auto"/>
        <w:rPr>
          <w:rFonts w:eastAsia="Times New Roman" w:cs="Times New Roman"/>
        </w:rPr>
      </w:pPr>
      <w:r w:rsidRPr="00A51F88">
        <w:rPr>
          <w:rFonts w:eastAsia="Times New Roman" w:cs="Times New Roman"/>
        </w:rPr>
        <w:t>Pagalbinės medžiagos yra:</w:t>
      </w:r>
    </w:p>
    <w:p w:rsidR="0042719A" w:rsidRPr="00A51F88" w:rsidRDefault="0042719A" w:rsidP="0042719A">
      <w:pPr>
        <w:numPr>
          <w:ilvl w:val="0"/>
          <w:numId w:val="15"/>
        </w:numPr>
        <w:spacing w:after="0" w:line="240" w:lineRule="auto"/>
        <w:contextualSpacing/>
        <w:rPr>
          <w:rFonts w:eastAsia="Times New Roman" w:cs="Times New Roman"/>
          <w:vertAlign w:val="superscript"/>
        </w:rPr>
      </w:pPr>
      <w:r w:rsidRPr="00A51F88">
        <w:rPr>
          <w:rFonts w:eastAsia="Times New Roman" w:cs="Times New Roman"/>
          <w:i/>
        </w:rPr>
        <w:t>Šerdis:</w:t>
      </w:r>
      <w:r w:rsidRPr="00A51F88">
        <w:rPr>
          <w:rFonts w:eastAsia="Times New Roman" w:cs="Times New Roman"/>
        </w:rPr>
        <w:t xml:space="preserve"> mikrokristalinė celiuliozė, kroskarmeliozės natrio druska, </w:t>
      </w:r>
      <w:r w:rsidRPr="00A51F88">
        <w:rPr>
          <w:rFonts w:eastAsia="Times New Roman" w:cs="Times New Roman"/>
          <w:bCs/>
        </w:rPr>
        <w:t xml:space="preserve">glicerolio dibehenatas, dalinai pregelifikuotas kukurūzų krakmolas, </w:t>
      </w:r>
      <w:r w:rsidRPr="00A51F88">
        <w:rPr>
          <w:rFonts w:eastAsia="Times New Roman" w:cs="Times New Roman"/>
        </w:rPr>
        <w:t>magnio stearatas, hipromeliozė, talkas, bevandenis koloidinis silicio dioksidas;</w:t>
      </w:r>
    </w:p>
    <w:p w:rsidR="0042719A" w:rsidRPr="00A51F88" w:rsidRDefault="0042719A" w:rsidP="0042719A">
      <w:pPr>
        <w:numPr>
          <w:ilvl w:val="0"/>
          <w:numId w:val="15"/>
        </w:numPr>
        <w:spacing w:after="0" w:line="240" w:lineRule="auto"/>
        <w:contextualSpacing/>
        <w:rPr>
          <w:rFonts w:eastAsia="Times New Roman" w:cs="Times New Roman"/>
        </w:rPr>
      </w:pPr>
      <w:r w:rsidRPr="00A51F88">
        <w:rPr>
          <w:rFonts w:eastAsia="Times New Roman" w:cs="Times New Roman"/>
          <w:i/>
        </w:rPr>
        <w:t xml:space="preserve">Plėvelė: </w:t>
      </w:r>
      <w:r w:rsidRPr="00A51F88">
        <w:rPr>
          <w:rFonts w:eastAsia="Times New Roman" w:cs="Times New Roman"/>
        </w:rPr>
        <w:t xml:space="preserve">Opadry fx Yellow, kurio sudėtyje yra polivinilo alkoholis, talkas, polietilenglikolis, </w:t>
      </w:r>
      <w:r w:rsidRPr="00A51F88">
        <w:rPr>
          <w:rFonts w:eastAsia="Times New Roman" w:cs="Times New Roman"/>
          <w:color w:val="000000"/>
        </w:rPr>
        <w:t xml:space="preserve">žėručio pagrindu pagamintas perlamutro dažiklis (žėrutis, titano dioksidas (E171), raudonasis geležies oksidas (E172)), </w:t>
      </w:r>
      <w:r w:rsidRPr="00A51F88">
        <w:rPr>
          <w:rFonts w:eastAsia="Times New Roman" w:cs="Times New Roman"/>
        </w:rPr>
        <w:t>kvinolino geltonasis (E104), polisorbatas 80.</w:t>
      </w:r>
    </w:p>
    <w:p w:rsidR="0042719A" w:rsidRPr="00A51F88" w:rsidRDefault="0042719A" w:rsidP="0042719A">
      <w:pPr>
        <w:autoSpaceDE w:val="0"/>
        <w:autoSpaceDN w:val="0"/>
        <w:adjustRightInd w:val="0"/>
        <w:spacing w:line="240" w:lineRule="auto"/>
        <w:jc w:val="both"/>
        <w:rPr>
          <w:rFonts w:eastAsia="Times New Roman" w:cs="Times New Roman"/>
          <w:color w:val="000000"/>
        </w:rPr>
      </w:pPr>
    </w:p>
    <w:p w:rsidR="0042719A" w:rsidRPr="00A51F88" w:rsidRDefault="0042719A" w:rsidP="0042719A">
      <w:pPr>
        <w:autoSpaceDE w:val="0"/>
        <w:autoSpaceDN w:val="0"/>
        <w:adjustRightInd w:val="0"/>
        <w:spacing w:line="240" w:lineRule="auto"/>
        <w:jc w:val="both"/>
        <w:rPr>
          <w:rFonts w:eastAsia="Times New Roman" w:cs="Times New Roman"/>
          <w:b/>
          <w:bCs/>
          <w:color w:val="000000"/>
        </w:rPr>
      </w:pPr>
      <w:r w:rsidRPr="00A51F88">
        <w:rPr>
          <w:rFonts w:eastAsia="Times New Roman" w:cs="Times New Roman"/>
          <w:b/>
          <w:bCs/>
          <w:color w:val="000000"/>
        </w:rPr>
        <w:t>Daikol</w:t>
      </w:r>
      <w:r w:rsidRPr="00A51F88">
        <w:rPr>
          <w:rFonts w:eastAsia="Times New Roman" w:cs="Times New Roman"/>
          <w:color w:val="000000"/>
        </w:rPr>
        <w:t xml:space="preserve"> </w:t>
      </w:r>
      <w:r w:rsidRPr="00A51F88">
        <w:rPr>
          <w:rFonts w:eastAsia="Times New Roman" w:cs="Times New Roman"/>
          <w:b/>
          <w:bCs/>
          <w:color w:val="000000"/>
        </w:rPr>
        <w:t>išvaizda ir kiekis pakuotėje</w:t>
      </w:r>
    </w:p>
    <w:p w:rsidR="0042719A" w:rsidRPr="00A51F88" w:rsidRDefault="0042719A" w:rsidP="0042719A">
      <w:pPr>
        <w:autoSpaceDE w:val="0"/>
        <w:autoSpaceDN w:val="0"/>
        <w:adjustRightInd w:val="0"/>
        <w:spacing w:line="240" w:lineRule="auto"/>
        <w:rPr>
          <w:rFonts w:eastAsia="Times New Roman" w:cs="Times New Roman"/>
        </w:rPr>
      </w:pPr>
      <w:r w:rsidRPr="00A51F88">
        <w:rPr>
          <w:rFonts w:eastAsia="Times New Roman" w:cs="Times New Roman"/>
          <w:bCs/>
          <w:color w:val="000000"/>
        </w:rPr>
        <w:t xml:space="preserve">Daikol yra </w:t>
      </w:r>
      <w:r w:rsidRPr="00A51F88">
        <w:rPr>
          <w:rFonts w:eastAsia="Times New Roman" w:cs="Times New Roman"/>
          <w:color w:val="000000"/>
        </w:rPr>
        <w:t>apvalios, abipus išgaubtos, perlamutrinės geltonos spalvos plėvele dengtos tabletės</w:t>
      </w:r>
      <w:r w:rsidRPr="00A51F88">
        <w:rPr>
          <w:rFonts w:eastAsia="Times New Roman" w:cs="Times New Roman"/>
          <w:b/>
          <w:bCs/>
          <w:color w:val="000000"/>
        </w:rPr>
        <w:t>.</w:t>
      </w:r>
    </w:p>
    <w:p w:rsidR="0042719A" w:rsidRPr="00A51F88" w:rsidRDefault="0042719A" w:rsidP="0042719A">
      <w:pPr>
        <w:autoSpaceDE w:val="0"/>
        <w:autoSpaceDN w:val="0"/>
        <w:adjustRightInd w:val="0"/>
        <w:spacing w:line="240" w:lineRule="auto"/>
        <w:jc w:val="both"/>
        <w:rPr>
          <w:rFonts w:eastAsia="Times New Roman" w:cs="Times New Roman"/>
          <w:b/>
          <w:bCs/>
        </w:rPr>
      </w:pPr>
      <w:r w:rsidRPr="00A51F88">
        <w:rPr>
          <w:rFonts w:eastAsia="Times New Roman" w:cs="Times New Roman"/>
        </w:rPr>
        <w:t xml:space="preserve">Plėvele dengtos tabletės tiekiamos </w:t>
      </w:r>
      <w:r w:rsidRPr="00A51F88">
        <w:rPr>
          <w:rFonts w:eastAsia="Times New Roman" w:cs="Times New Roman"/>
          <w:color w:val="000000"/>
        </w:rPr>
        <w:t>2 PVC/Al lizdinėse plokštelėse po 10 tablečių.</w:t>
      </w:r>
    </w:p>
    <w:p w:rsidR="0042719A" w:rsidRPr="00A51F88" w:rsidRDefault="0042719A" w:rsidP="0042719A">
      <w:pPr>
        <w:autoSpaceDE w:val="0"/>
        <w:autoSpaceDN w:val="0"/>
        <w:adjustRightInd w:val="0"/>
        <w:spacing w:line="240" w:lineRule="auto"/>
        <w:jc w:val="both"/>
        <w:rPr>
          <w:rFonts w:eastAsia="Times New Roman" w:cs="Times New Roman"/>
          <w:bCs/>
        </w:rPr>
      </w:pPr>
    </w:p>
    <w:p w:rsidR="0042719A" w:rsidRPr="00A51F88" w:rsidRDefault="0042719A" w:rsidP="0042719A">
      <w:pPr>
        <w:autoSpaceDE w:val="0"/>
        <w:autoSpaceDN w:val="0"/>
        <w:adjustRightInd w:val="0"/>
        <w:spacing w:line="240" w:lineRule="auto"/>
        <w:jc w:val="both"/>
        <w:rPr>
          <w:rFonts w:eastAsia="Times New Roman" w:cs="Times New Roman"/>
          <w:bCs/>
        </w:rPr>
      </w:pPr>
      <w:r w:rsidRPr="00A51F88">
        <w:rPr>
          <w:rFonts w:eastAsia="Times New Roman" w:cs="Times New Roman"/>
          <w:b/>
          <w:bCs/>
        </w:rPr>
        <w:t>Registruotojas ir gamintojas</w:t>
      </w:r>
    </w:p>
    <w:p w:rsidR="0042719A" w:rsidRPr="00A51F88" w:rsidRDefault="0042719A" w:rsidP="0042719A">
      <w:pPr>
        <w:spacing w:line="240" w:lineRule="auto"/>
        <w:jc w:val="both"/>
        <w:rPr>
          <w:rFonts w:eastAsia="Times New Roman" w:cs="Times New Roman"/>
          <w:bCs/>
          <w:i/>
        </w:rPr>
      </w:pPr>
      <w:r w:rsidRPr="00A51F88">
        <w:rPr>
          <w:rFonts w:eastAsia="Times New Roman" w:cs="Times New Roman"/>
          <w:bCs/>
          <w:i/>
          <w:color w:val="000000"/>
        </w:rPr>
        <w:t>Registruotojas</w:t>
      </w:r>
    </w:p>
    <w:p w:rsidR="0042719A" w:rsidRPr="00A51F88" w:rsidRDefault="0042719A" w:rsidP="0042719A">
      <w:pPr>
        <w:autoSpaceDE w:val="0"/>
        <w:autoSpaceDN w:val="0"/>
        <w:adjustRightInd w:val="0"/>
        <w:spacing w:line="240" w:lineRule="auto"/>
        <w:jc w:val="both"/>
        <w:rPr>
          <w:rFonts w:eastAsia="Times New Roman" w:cs="Times New Roman"/>
          <w:bCs/>
          <w:color w:val="000000"/>
        </w:rPr>
      </w:pPr>
      <w:r w:rsidRPr="00A51F88">
        <w:rPr>
          <w:rFonts w:eastAsia="Times New Roman" w:cs="Times New Roman"/>
          <w:bCs/>
          <w:color w:val="000000"/>
        </w:rPr>
        <w:t>SIA Ingen Pharma</w:t>
      </w:r>
    </w:p>
    <w:p w:rsidR="0042719A" w:rsidRPr="00A51F88" w:rsidRDefault="0042719A" w:rsidP="0042719A">
      <w:pPr>
        <w:autoSpaceDE w:val="0"/>
        <w:autoSpaceDN w:val="0"/>
        <w:adjustRightInd w:val="0"/>
        <w:spacing w:line="240" w:lineRule="auto"/>
        <w:jc w:val="both"/>
        <w:rPr>
          <w:rFonts w:eastAsia="Times New Roman" w:cs="Times New Roman"/>
          <w:bCs/>
          <w:color w:val="000000"/>
        </w:rPr>
      </w:pPr>
      <w:r w:rsidRPr="00A51F88">
        <w:rPr>
          <w:rFonts w:eastAsia="Times New Roman" w:cs="Times New Roman"/>
          <w:bCs/>
          <w:color w:val="000000"/>
        </w:rPr>
        <w:t>K. Ulmaņa gatve 119</w:t>
      </w:r>
    </w:p>
    <w:p w:rsidR="0042719A" w:rsidRPr="00A51F88" w:rsidRDefault="0042719A" w:rsidP="0042719A">
      <w:pPr>
        <w:autoSpaceDE w:val="0"/>
        <w:autoSpaceDN w:val="0"/>
        <w:adjustRightInd w:val="0"/>
        <w:spacing w:line="240" w:lineRule="auto"/>
        <w:jc w:val="both"/>
        <w:rPr>
          <w:rFonts w:eastAsia="Times New Roman" w:cs="Times New Roman"/>
          <w:bCs/>
          <w:color w:val="000000"/>
        </w:rPr>
      </w:pPr>
      <w:r w:rsidRPr="00A51F88">
        <w:rPr>
          <w:rFonts w:eastAsia="Times New Roman" w:cs="Times New Roman"/>
          <w:bCs/>
          <w:color w:val="000000"/>
        </w:rPr>
        <w:t>LV-2167 Mārupe, Rīga</w:t>
      </w:r>
    </w:p>
    <w:p w:rsidR="0042719A" w:rsidRPr="00A51F88" w:rsidRDefault="0042719A" w:rsidP="0042719A">
      <w:pPr>
        <w:autoSpaceDE w:val="0"/>
        <w:autoSpaceDN w:val="0"/>
        <w:adjustRightInd w:val="0"/>
        <w:spacing w:line="240" w:lineRule="auto"/>
        <w:jc w:val="both"/>
        <w:rPr>
          <w:rFonts w:eastAsia="Times New Roman" w:cs="Times New Roman"/>
          <w:bCs/>
          <w:color w:val="000000"/>
        </w:rPr>
      </w:pPr>
      <w:r w:rsidRPr="00A51F88">
        <w:rPr>
          <w:rFonts w:eastAsia="Times New Roman" w:cs="Times New Roman"/>
          <w:bCs/>
          <w:color w:val="000000"/>
        </w:rPr>
        <w:t>Latvija</w:t>
      </w:r>
    </w:p>
    <w:p w:rsidR="0042719A" w:rsidRPr="00A51F88" w:rsidRDefault="0042719A" w:rsidP="0042719A">
      <w:pPr>
        <w:autoSpaceDE w:val="0"/>
        <w:autoSpaceDN w:val="0"/>
        <w:adjustRightInd w:val="0"/>
        <w:spacing w:line="240" w:lineRule="auto"/>
        <w:jc w:val="both"/>
        <w:rPr>
          <w:rFonts w:eastAsia="Times New Roman" w:cs="Times New Roman"/>
          <w:bCs/>
          <w:color w:val="000000"/>
        </w:rPr>
      </w:pPr>
    </w:p>
    <w:p w:rsidR="0042719A" w:rsidRPr="00A51F88" w:rsidRDefault="0042719A" w:rsidP="0042719A">
      <w:pPr>
        <w:spacing w:line="240" w:lineRule="auto"/>
        <w:jc w:val="both"/>
        <w:rPr>
          <w:rFonts w:eastAsia="Times New Roman" w:cs="Times New Roman"/>
          <w:bCs/>
          <w:i/>
          <w:color w:val="000000"/>
        </w:rPr>
      </w:pPr>
      <w:r w:rsidRPr="00A51F88">
        <w:rPr>
          <w:rFonts w:eastAsia="Times New Roman" w:cs="Times New Roman"/>
          <w:bCs/>
          <w:i/>
          <w:color w:val="000000"/>
        </w:rPr>
        <w:t>Gamintojas</w:t>
      </w:r>
    </w:p>
    <w:p w:rsidR="0042719A" w:rsidRPr="00A51F88" w:rsidRDefault="0042719A" w:rsidP="0042719A">
      <w:pPr>
        <w:spacing w:line="240" w:lineRule="auto"/>
        <w:jc w:val="both"/>
        <w:rPr>
          <w:rFonts w:eastAsia="Times New Roman" w:cs="Times New Roman"/>
        </w:rPr>
      </w:pPr>
      <w:r w:rsidRPr="00A51F88">
        <w:rPr>
          <w:rFonts w:eastAsia="Times New Roman" w:cs="Times New Roman"/>
        </w:rPr>
        <w:t>S.C. POLISANO PHARMACEUTICALS S.A.</w:t>
      </w:r>
    </w:p>
    <w:p w:rsidR="0042719A" w:rsidRPr="00A51F88" w:rsidRDefault="0042719A" w:rsidP="0042719A">
      <w:pPr>
        <w:spacing w:line="240" w:lineRule="auto"/>
        <w:jc w:val="both"/>
        <w:rPr>
          <w:rFonts w:eastAsia="Times New Roman" w:cs="Times New Roman"/>
        </w:rPr>
      </w:pPr>
      <w:r w:rsidRPr="00A51F88">
        <w:rPr>
          <w:rFonts w:eastAsia="Times New Roman" w:cs="Times New Roman"/>
        </w:rPr>
        <w:t>Sos. Alba Iulia nr. 156, cod 550052</w:t>
      </w:r>
    </w:p>
    <w:p w:rsidR="0042719A" w:rsidRPr="00A51F88" w:rsidRDefault="0042719A" w:rsidP="0042719A">
      <w:pPr>
        <w:spacing w:line="240" w:lineRule="auto"/>
        <w:jc w:val="both"/>
        <w:rPr>
          <w:rFonts w:eastAsia="Times New Roman" w:cs="Times New Roman"/>
        </w:rPr>
      </w:pPr>
      <w:r w:rsidRPr="00A51F88">
        <w:rPr>
          <w:rFonts w:eastAsia="Times New Roman" w:cs="Times New Roman"/>
        </w:rPr>
        <w:t>Sibiu, Jud. Sibiu</w:t>
      </w:r>
    </w:p>
    <w:p w:rsidR="0042719A" w:rsidRPr="00A51F88" w:rsidRDefault="0042719A" w:rsidP="0042719A">
      <w:pPr>
        <w:spacing w:line="240" w:lineRule="auto"/>
        <w:jc w:val="both"/>
        <w:rPr>
          <w:rFonts w:eastAsia="Times New Roman" w:cs="Times New Roman"/>
        </w:rPr>
      </w:pPr>
      <w:r w:rsidRPr="00A51F88">
        <w:rPr>
          <w:rFonts w:eastAsia="Times New Roman" w:cs="Times New Roman"/>
        </w:rPr>
        <w:t>Rumunija</w:t>
      </w:r>
    </w:p>
    <w:p w:rsidR="0042719A" w:rsidRPr="00A51F88" w:rsidRDefault="0042719A" w:rsidP="0042719A">
      <w:pPr>
        <w:spacing w:line="240" w:lineRule="auto"/>
        <w:jc w:val="both"/>
        <w:rPr>
          <w:rFonts w:eastAsia="Times New Roman" w:cs="Times New Roman"/>
          <w:bCs/>
        </w:rPr>
      </w:pPr>
    </w:p>
    <w:p w:rsidR="0042719A" w:rsidRPr="00A51F88" w:rsidRDefault="0042719A" w:rsidP="0042719A">
      <w:pPr>
        <w:spacing w:line="240" w:lineRule="auto"/>
        <w:rPr>
          <w:rFonts w:eastAsia="Times New Roman" w:cs="Times New Roman"/>
          <w:bCs/>
          <w:color w:val="000000"/>
        </w:rPr>
      </w:pPr>
      <w:r w:rsidRPr="00A51F88">
        <w:rPr>
          <w:rFonts w:eastAsia="Times New Roman" w:cs="Times New Roman"/>
          <w:b/>
          <w:bCs/>
          <w:color w:val="000000"/>
        </w:rPr>
        <w:t>Šis pakuotės lapelis paskutinį kartą peržiūrėtas</w:t>
      </w:r>
      <w:r>
        <w:rPr>
          <w:rFonts w:eastAsia="Times New Roman" w:cs="Times New Roman"/>
          <w:b/>
          <w:bCs/>
          <w:color w:val="000000"/>
        </w:rPr>
        <w:t xml:space="preserve"> 2022-10-20</w:t>
      </w:r>
      <w:r w:rsidRPr="00A51F88">
        <w:rPr>
          <w:rFonts w:eastAsia="Times New Roman" w:cs="Times New Roman"/>
          <w:b/>
          <w:bCs/>
          <w:color w:val="000000"/>
        </w:rPr>
        <w:t>.</w:t>
      </w:r>
    </w:p>
    <w:p w:rsidR="0042719A" w:rsidRPr="00A51F88" w:rsidRDefault="0042719A" w:rsidP="0042719A">
      <w:pPr>
        <w:spacing w:line="240" w:lineRule="auto"/>
        <w:rPr>
          <w:rFonts w:eastAsia="Times New Roman" w:cs="Times New Roman"/>
          <w:bCs/>
          <w:color w:val="000000"/>
        </w:rPr>
      </w:pPr>
    </w:p>
    <w:p w:rsidR="0042719A" w:rsidRPr="00A51F88" w:rsidRDefault="0042719A" w:rsidP="0042719A">
      <w:pPr>
        <w:numPr>
          <w:ilvl w:val="12"/>
          <w:numId w:val="0"/>
        </w:numPr>
        <w:tabs>
          <w:tab w:val="left" w:pos="567"/>
        </w:tabs>
        <w:spacing w:line="240" w:lineRule="auto"/>
        <w:ind w:right="-2"/>
        <w:rPr>
          <w:rFonts w:eastAsia="Times New Roman" w:cs="Times New Roman"/>
          <w:snapToGrid w:val="0"/>
        </w:rPr>
      </w:pPr>
      <w:r w:rsidRPr="00A51F88">
        <w:rPr>
          <w:rFonts w:eastAsia="Times New Roman" w:cs="Times New Roman"/>
          <w:snapToGrid w:val="0"/>
        </w:rPr>
        <w:t>Išsami informacija apie šį vaistą pateikiama Valstybinės vaistų kontrolės tarnybos prie Lietuvos Respublikos sveikatos apsaugos ministerijos tinklalapyje</w:t>
      </w:r>
      <w:r w:rsidRPr="00A51F88">
        <w:rPr>
          <w:rFonts w:eastAsia="Times New Roman" w:cs="Times New Roman"/>
          <w:i/>
          <w:snapToGrid w:val="0"/>
        </w:rPr>
        <w:t xml:space="preserve"> </w:t>
      </w:r>
      <w:hyperlink r:id="rId8" w:history="1">
        <w:r w:rsidRPr="00A51F88">
          <w:rPr>
            <w:rFonts w:eastAsia="SimSun" w:cs="Times New Roman"/>
            <w:snapToGrid w:val="0"/>
            <w:color w:val="0000FF"/>
            <w:u w:val="single"/>
          </w:rPr>
          <w:t>http://www.vvkt.lt/</w:t>
        </w:r>
      </w:hyperlink>
      <w:r w:rsidRPr="00A51F88">
        <w:rPr>
          <w:rFonts w:eastAsia="Times New Roman" w:cs="Times New Roman"/>
          <w:snapToGrid w:val="0"/>
        </w:rPr>
        <w:t>.</w:t>
      </w:r>
    </w:p>
    <w:p w:rsidR="00E400E3" w:rsidRDefault="00E400E3"/>
    <w:sectPr w:rsidR="00E4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00"/>
    <w:multiLevelType w:val="hybridMultilevel"/>
    <w:tmpl w:val="4D0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7C36"/>
    <w:multiLevelType w:val="hybridMultilevel"/>
    <w:tmpl w:val="0F8A9152"/>
    <w:lvl w:ilvl="0" w:tplc="7D4425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2389B"/>
    <w:multiLevelType w:val="hybridMultilevel"/>
    <w:tmpl w:val="935E028C"/>
    <w:lvl w:ilvl="0" w:tplc="7D4425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A2FCC"/>
    <w:multiLevelType w:val="hybridMultilevel"/>
    <w:tmpl w:val="DB562C8E"/>
    <w:lvl w:ilvl="0" w:tplc="4EE07A62">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C1446"/>
    <w:multiLevelType w:val="hybridMultilevel"/>
    <w:tmpl w:val="6A7E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D59D2"/>
    <w:multiLevelType w:val="hybridMultilevel"/>
    <w:tmpl w:val="4C7CA940"/>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6502E"/>
    <w:multiLevelType w:val="hybridMultilevel"/>
    <w:tmpl w:val="69986F7E"/>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660B4"/>
    <w:multiLevelType w:val="hybridMultilevel"/>
    <w:tmpl w:val="667AF7D6"/>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A3FAE"/>
    <w:multiLevelType w:val="hybridMultilevel"/>
    <w:tmpl w:val="5A3E5E52"/>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C2D91"/>
    <w:multiLevelType w:val="hybridMultilevel"/>
    <w:tmpl w:val="B31227A8"/>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77C10"/>
    <w:multiLevelType w:val="hybridMultilevel"/>
    <w:tmpl w:val="6C4E6898"/>
    <w:lvl w:ilvl="0" w:tplc="1FF2C776">
      <w:numFmt w:val="bullet"/>
      <w:lvlText w:val="•"/>
      <w:lvlJc w:val="left"/>
      <w:pPr>
        <w:ind w:left="720" w:hanging="360"/>
      </w:pPr>
      <w:rPr>
        <w:rFonts w:ascii="Times New Roman" w:eastAsia="Times New Roman" w:hAnsi="Times New Roman" w:cs="Times New Roman"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1001B40"/>
    <w:multiLevelType w:val="hybridMultilevel"/>
    <w:tmpl w:val="55E82D32"/>
    <w:lvl w:ilvl="0" w:tplc="7D4425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B546B"/>
    <w:multiLevelType w:val="hybridMultilevel"/>
    <w:tmpl w:val="B6743562"/>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E2CD0"/>
    <w:multiLevelType w:val="hybridMultilevel"/>
    <w:tmpl w:val="C4E65EEA"/>
    <w:lvl w:ilvl="0" w:tplc="7D4425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7136C"/>
    <w:multiLevelType w:val="hybridMultilevel"/>
    <w:tmpl w:val="AD3AF8A8"/>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A419A"/>
    <w:multiLevelType w:val="hybridMultilevel"/>
    <w:tmpl w:val="01021680"/>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71679"/>
    <w:multiLevelType w:val="hybridMultilevel"/>
    <w:tmpl w:val="CBD4355E"/>
    <w:lvl w:ilvl="0" w:tplc="7D442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86775"/>
    <w:multiLevelType w:val="hybridMultilevel"/>
    <w:tmpl w:val="1DD24DA0"/>
    <w:lvl w:ilvl="0" w:tplc="AECEB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066124">
    <w:abstractNumId w:val="2"/>
  </w:num>
  <w:num w:numId="2" w16cid:durableId="690184372">
    <w:abstractNumId w:val="11"/>
  </w:num>
  <w:num w:numId="3" w16cid:durableId="698552238">
    <w:abstractNumId w:val="4"/>
  </w:num>
  <w:num w:numId="4" w16cid:durableId="1015114651">
    <w:abstractNumId w:val="1"/>
  </w:num>
  <w:num w:numId="5" w16cid:durableId="1763794832">
    <w:abstractNumId w:val="6"/>
  </w:num>
  <w:num w:numId="6" w16cid:durableId="1388256670">
    <w:abstractNumId w:val="16"/>
  </w:num>
  <w:num w:numId="7" w16cid:durableId="1915893736">
    <w:abstractNumId w:val="13"/>
  </w:num>
  <w:num w:numId="8" w16cid:durableId="2061443787">
    <w:abstractNumId w:val="12"/>
  </w:num>
  <w:num w:numId="9" w16cid:durableId="94061986">
    <w:abstractNumId w:val="7"/>
  </w:num>
  <w:num w:numId="10" w16cid:durableId="521555397">
    <w:abstractNumId w:val="9"/>
  </w:num>
  <w:num w:numId="11" w16cid:durableId="1087731495">
    <w:abstractNumId w:val="8"/>
  </w:num>
  <w:num w:numId="12" w16cid:durableId="1839615896">
    <w:abstractNumId w:val="15"/>
  </w:num>
  <w:num w:numId="13" w16cid:durableId="1313098540">
    <w:abstractNumId w:val="0"/>
  </w:num>
  <w:num w:numId="14" w16cid:durableId="410321688">
    <w:abstractNumId w:val="14"/>
  </w:num>
  <w:num w:numId="15" w16cid:durableId="1861890421">
    <w:abstractNumId w:val="5"/>
  </w:num>
  <w:num w:numId="16" w16cid:durableId="539634759">
    <w:abstractNumId w:val="3"/>
  </w:num>
  <w:num w:numId="17" w16cid:durableId="1292051393">
    <w:abstractNumId w:val="17"/>
  </w:num>
  <w:num w:numId="18" w16cid:durableId="1346207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9A"/>
    <w:rsid w:val="0042719A"/>
    <w:rsid w:val="00E4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8FC2-2426-439A-A93B-5AEAEA7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9A"/>
    <w:pPr>
      <w:spacing w:after="0"/>
      <w:ind w:left="720"/>
      <w:contextualSpacing/>
    </w:pPr>
    <w:rPr>
      <w:rFonts w:ascii="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3109</Words>
  <Characters>17727</Characters>
  <Application>Microsoft Office Word</Application>
  <DocSecurity>0</DocSecurity>
  <Lines>147</Lines>
  <Paragraphs>41</Paragraphs>
  <ScaleCrop>false</ScaleCrop>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2023-01-11T13:44:00Z</dcterms:created>
  <dcterms:modified xsi:type="dcterms:W3CDTF">2023-01-11T13:44:00Z</dcterms:modified>
</cp:coreProperties>
</file>