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64C" w:rsidRPr="00EB4833" w:rsidRDefault="00C6264C" w:rsidP="00C6264C">
      <w:pPr>
        <w:pageBreakBefore/>
        <w:widowControl w:val="0"/>
        <w:suppressAutoHyphens/>
        <w:spacing w:after="0" w:line="240" w:lineRule="auto"/>
        <w:ind w:right="113"/>
        <w:jc w:val="center"/>
        <w:rPr>
          <w:rFonts w:ascii="Times New Roman" w:hAnsi="Times New Roman"/>
          <w:b/>
          <w:kern w:val="1"/>
        </w:rPr>
      </w:pPr>
      <w:r w:rsidRPr="00EB4833">
        <w:rPr>
          <w:rFonts w:ascii="Times New Roman" w:hAnsi="Times New Roman"/>
          <w:b/>
          <w:kern w:val="1"/>
        </w:rPr>
        <w:t>Pakuotės lapelis: informacija vartotojui</w:t>
      </w:r>
    </w:p>
    <w:p w:rsidR="00C6264C" w:rsidRPr="00EB4833" w:rsidRDefault="00C6264C" w:rsidP="00C6264C">
      <w:pPr>
        <w:widowControl w:val="0"/>
        <w:suppressAutoHyphens/>
        <w:spacing w:after="0" w:line="240" w:lineRule="auto"/>
        <w:jc w:val="center"/>
        <w:rPr>
          <w:rFonts w:ascii="Times New Roman" w:hAnsi="Times New Roman"/>
          <w:b/>
          <w:kern w:val="1"/>
        </w:rPr>
      </w:pPr>
    </w:p>
    <w:p w:rsidR="00C6264C" w:rsidRPr="00EB4833" w:rsidRDefault="00C6264C" w:rsidP="00C6264C">
      <w:pPr>
        <w:widowControl w:val="0"/>
        <w:suppressAutoHyphens/>
        <w:spacing w:after="0" w:line="240" w:lineRule="auto"/>
        <w:ind w:right="-2"/>
        <w:jc w:val="center"/>
        <w:rPr>
          <w:rFonts w:ascii="Times New Roman" w:hAnsi="Times New Roman"/>
          <w:b/>
          <w:kern w:val="1"/>
        </w:rPr>
      </w:pPr>
      <w:r w:rsidRPr="00EB4833">
        <w:rPr>
          <w:rFonts w:ascii="Times New Roman" w:hAnsi="Times New Roman"/>
          <w:b/>
          <w:kern w:val="1"/>
        </w:rPr>
        <w:t>Metypred 4 mg tabletės</w:t>
      </w:r>
    </w:p>
    <w:p w:rsidR="00C6264C" w:rsidRPr="00EB4833" w:rsidRDefault="00C6264C" w:rsidP="00C6264C">
      <w:pPr>
        <w:widowControl w:val="0"/>
        <w:suppressAutoHyphens/>
        <w:spacing w:after="0" w:line="240" w:lineRule="auto"/>
        <w:ind w:right="-2"/>
        <w:jc w:val="center"/>
        <w:rPr>
          <w:rFonts w:ascii="Times New Roman" w:hAnsi="Times New Roman"/>
          <w:kern w:val="1"/>
        </w:rPr>
      </w:pPr>
      <w:r w:rsidRPr="00EB4833">
        <w:rPr>
          <w:rFonts w:ascii="Times New Roman" w:hAnsi="Times New Roman"/>
          <w:b/>
          <w:kern w:val="1"/>
        </w:rPr>
        <w:t>Metypred 16 mg tabletės</w:t>
      </w:r>
    </w:p>
    <w:p w:rsidR="00C6264C" w:rsidRPr="00EB4833" w:rsidRDefault="00C6264C" w:rsidP="00C6264C">
      <w:pPr>
        <w:widowControl w:val="0"/>
        <w:suppressAutoHyphens/>
        <w:spacing w:after="0" w:line="240" w:lineRule="auto"/>
        <w:ind w:right="-2"/>
        <w:jc w:val="center"/>
        <w:rPr>
          <w:rFonts w:ascii="Times New Roman" w:hAnsi="Times New Roman"/>
          <w:b/>
          <w:kern w:val="1"/>
        </w:rPr>
      </w:pPr>
      <w:r w:rsidRPr="00EB4833">
        <w:rPr>
          <w:rFonts w:ascii="Times New Roman" w:hAnsi="Times New Roman"/>
          <w:kern w:val="1"/>
        </w:rPr>
        <w:t>Metilprednizolonas</w:t>
      </w:r>
    </w:p>
    <w:p w:rsidR="00C6264C" w:rsidRPr="00EB4833" w:rsidRDefault="00C6264C" w:rsidP="00C6264C">
      <w:pPr>
        <w:widowControl w:val="0"/>
        <w:suppressAutoHyphens/>
        <w:spacing w:after="0" w:line="240" w:lineRule="auto"/>
        <w:jc w:val="center"/>
        <w:rPr>
          <w:rFonts w:ascii="Times New Roman" w:hAnsi="Times New Roman"/>
          <w:b/>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b/>
          <w:kern w:val="1"/>
        </w:rPr>
        <w:t>Atidžiai perskaitykite visą šį lapelį, prieš pradėdami vartoti vaistą, nes jame pateikiama Jums svarbi informacija.</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w:t>
      </w:r>
      <w:r w:rsidRPr="00EB4833">
        <w:rPr>
          <w:rFonts w:ascii="Times New Roman" w:hAnsi="Times New Roman"/>
          <w:kern w:val="1"/>
        </w:rPr>
        <w:tab/>
        <w:t>Neišmeskite šio lapelio, nes vėl gali prireikti jį perskaityti.</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w:t>
      </w:r>
      <w:r w:rsidRPr="00EB4833">
        <w:rPr>
          <w:rFonts w:ascii="Times New Roman" w:hAnsi="Times New Roman"/>
          <w:kern w:val="1"/>
        </w:rPr>
        <w:tab/>
        <w:t>Jeigu kiltų daugiau klausimų, kreipkitės į gydytoją arba vaistininką.</w:t>
      </w:r>
    </w:p>
    <w:p w:rsidR="00C6264C" w:rsidRPr="00EB4833" w:rsidRDefault="00C6264C" w:rsidP="00C6264C">
      <w:pPr>
        <w:widowControl w:val="0"/>
        <w:numPr>
          <w:ilvl w:val="0"/>
          <w:numId w:val="1"/>
        </w:numPr>
        <w:suppressAutoHyphens/>
        <w:spacing w:after="0" w:line="240" w:lineRule="auto"/>
        <w:ind w:left="567" w:hanging="567"/>
        <w:rPr>
          <w:rFonts w:ascii="Times New Roman" w:hAnsi="Times New Roman"/>
          <w:kern w:val="1"/>
        </w:rPr>
      </w:pPr>
      <w:r w:rsidRPr="00EB4833">
        <w:rPr>
          <w:rFonts w:ascii="Times New Roman" w:hAnsi="Times New Roman"/>
          <w:kern w:val="1"/>
        </w:rPr>
        <w:t>Šis vaistas skirtas tik Jums, todėl kitiems žmonėms jo duoti negalima. Vaistas gali jiems pakenkti (net tiems, kurių ligos požymiai yra tokie patys kaip Jūsų).</w:t>
      </w:r>
    </w:p>
    <w:p w:rsidR="00C6264C" w:rsidRPr="00EB4833" w:rsidRDefault="00C6264C" w:rsidP="00C6264C">
      <w:pPr>
        <w:widowControl w:val="0"/>
        <w:numPr>
          <w:ilvl w:val="0"/>
          <w:numId w:val="1"/>
        </w:numPr>
        <w:suppressAutoHyphens/>
        <w:spacing w:after="0" w:line="240" w:lineRule="auto"/>
        <w:ind w:left="567" w:hanging="567"/>
        <w:rPr>
          <w:rFonts w:ascii="Times New Roman" w:hAnsi="Times New Roman"/>
          <w:kern w:val="1"/>
        </w:rPr>
      </w:pPr>
      <w:r w:rsidRPr="00EB4833">
        <w:rPr>
          <w:rFonts w:ascii="Times New Roman" w:hAnsi="Times New Roman"/>
          <w:kern w:val="1"/>
        </w:rPr>
        <w:t>Jeigu pasireiškė šalutinis poveikis (net jeigu jis šiame lapelyje nenurodytas), kreipkitės į gydytoją arba vaistininką. Žr. 4 skyrių.</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Apie ką rašoma šiame lapelyje?</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1.</w:t>
      </w:r>
      <w:r w:rsidRPr="00EB4833">
        <w:rPr>
          <w:rFonts w:ascii="Times New Roman" w:hAnsi="Times New Roman"/>
          <w:kern w:val="1"/>
        </w:rPr>
        <w:tab/>
        <w:t>Kas yra Metypred ir kam jis vartojamas</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2.</w:t>
      </w:r>
      <w:r w:rsidRPr="00EB4833">
        <w:rPr>
          <w:rFonts w:ascii="Times New Roman" w:hAnsi="Times New Roman"/>
          <w:kern w:val="1"/>
        </w:rPr>
        <w:tab/>
        <w:t>Kas žinotina prieš vartojant Metypred</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3.</w:t>
      </w:r>
      <w:r w:rsidRPr="00EB4833">
        <w:rPr>
          <w:rFonts w:ascii="Times New Roman" w:hAnsi="Times New Roman"/>
          <w:kern w:val="1"/>
        </w:rPr>
        <w:tab/>
        <w:t>Kaip vartoti Metypred</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4.</w:t>
      </w:r>
      <w:r w:rsidRPr="00EB4833">
        <w:rPr>
          <w:rFonts w:ascii="Times New Roman" w:hAnsi="Times New Roman"/>
          <w:kern w:val="1"/>
        </w:rPr>
        <w:tab/>
        <w:t>Galimas šalutinis poveikis</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5.</w:t>
      </w:r>
      <w:r w:rsidRPr="00EB4833">
        <w:rPr>
          <w:rFonts w:ascii="Times New Roman" w:hAnsi="Times New Roman"/>
          <w:kern w:val="1"/>
        </w:rPr>
        <w:tab/>
        <w:t>Kaip laikyti Metypred</w:t>
      </w: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6.</w:t>
      </w:r>
      <w:r w:rsidRPr="00EB4833">
        <w:rPr>
          <w:rFonts w:ascii="Times New Roman" w:hAnsi="Times New Roman"/>
          <w:kern w:val="1"/>
        </w:rPr>
        <w:tab/>
        <w:t>Pakuotės turinys ir kita informacija</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1.</w:t>
      </w:r>
      <w:r w:rsidRPr="00EB4833">
        <w:rPr>
          <w:rFonts w:ascii="Times New Roman" w:hAnsi="Times New Roman"/>
          <w:b/>
          <w:kern w:val="1"/>
        </w:rPr>
        <w:tab/>
        <w:t>Kas yra Metypred ir kam jis vartojamas</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 xml:space="preserve">Metypred sudėtyje yra veikliosios medžiagos metilprednizolono. Metilprednizolonas yra </w:t>
      </w:r>
      <w:r w:rsidRPr="00EB4833">
        <w:rPr>
          <w:rFonts w:ascii="Times New Roman" w:hAnsi="Times New Roman"/>
          <w:bCs/>
          <w:kern w:val="1"/>
        </w:rPr>
        <w:t>kortikosteroidas</w:t>
      </w:r>
      <w:r w:rsidRPr="00EB4833">
        <w:rPr>
          <w:rFonts w:ascii="Times New Roman" w:hAnsi="Times New Roman"/>
          <w:kern w:val="1"/>
        </w:rPr>
        <w:t>, kuris greta kitokio poveikio, slopina uždegimo simptomus ir neutralizuoja alergijos simptomus.</w:t>
      </w:r>
    </w:p>
    <w:p w:rsidR="00C6264C" w:rsidRPr="00EB4833" w:rsidRDefault="00C6264C" w:rsidP="00C6264C">
      <w:pPr>
        <w:keepNext/>
        <w:keepLines/>
        <w:suppressAutoHyphens/>
        <w:spacing w:after="0" w:line="240" w:lineRule="auto"/>
        <w:rPr>
          <w:rFonts w:ascii="Times New Roman" w:hAnsi="Times New Roman"/>
          <w:kern w:val="1"/>
        </w:rPr>
      </w:pPr>
    </w:p>
    <w:p w:rsidR="00C6264C"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Metypred vartojamas uždegimui gydyti, pasireiškiančiam daugelio ligų metu. Tokios ligos yra:</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skirtingos kilmės reumatinės ligos (pvz., reumatoidinis artritas);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jungiamąjį audinį veikiančios ligos (vadinamosios kalogeno ligos);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alerginės reakcijos;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įvairios odos ligos;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plaučių ligos;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kepenų ligos;</w:t>
      </w:r>
    </w:p>
    <w:p w:rsidR="00C6264C" w:rsidRPr="00EB4833" w:rsidRDefault="00C6264C" w:rsidP="00C6264C">
      <w:pPr>
        <w:keepNext/>
        <w:keepLines/>
        <w:numPr>
          <w:ilvl w:val="0"/>
          <w:numId w:val="2"/>
        </w:numPr>
        <w:tabs>
          <w:tab w:val="clear" w:pos="360"/>
          <w:tab w:val="num" w:pos="567"/>
        </w:tabs>
        <w:suppressAutoHyphens/>
        <w:spacing w:after="0" w:line="240" w:lineRule="auto"/>
        <w:ind w:left="567" w:hanging="567"/>
        <w:rPr>
          <w:rFonts w:ascii="Times New Roman" w:hAnsi="Times New Roman"/>
          <w:kern w:val="1"/>
        </w:rPr>
      </w:pPr>
      <w:r w:rsidRPr="00EB4833">
        <w:rPr>
          <w:rFonts w:ascii="Times New Roman" w:hAnsi="Times New Roman"/>
          <w:kern w:val="1"/>
        </w:rPr>
        <w:t>ligos, susijusios su krauju ir kraujodaros organais (pvz., kraujo ląstelių kiekio pokytis);</w:t>
      </w:r>
    </w:p>
    <w:p w:rsidR="00C6264C" w:rsidRPr="00EB4833" w:rsidRDefault="00C6264C" w:rsidP="00C6264C">
      <w:pPr>
        <w:keepNext/>
        <w:keepLines/>
        <w:numPr>
          <w:ilvl w:val="0"/>
          <w:numId w:val="2"/>
        </w:numPr>
        <w:tabs>
          <w:tab w:val="clear" w:pos="360"/>
          <w:tab w:val="num" w:pos="567"/>
        </w:tabs>
        <w:suppressAutoHyphens/>
        <w:spacing w:after="0" w:line="240" w:lineRule="auto"/>
        <w:ind w:left="567" w:hanging="567"/>
        <w:rPr>
          <w:rFonts w:ascii="Times New Roman" w:hAnsi="Times New Roman"/>
          <w:kern w:val="1"/>
        </w:rPr>
      </w:pPr>
      <w:r w:rsidRPr="00EB4833">
        <w:rPr>
          <w:rFonts w:ascii="Times New Roman" w:hAnsi="Times New Roman"/>
          <w:kern w:val="1"/>
        </w:rPr>
        <w:t>ligos susijusios su smegenimis ir nervų sistema (pvz., meningitas);</w:t>
      </w:r>
    </w:p>
    <w:p w:rsidR="00C6264C" w:rsidRPr="00EB4833" w:rsidRDefault="00C6264C" w:rsidP="00C6264C">
      <w:pPr>
        <w:keepNext/>
        <w:keepLines/>
        <w:numPr>
          <w:ilvl w:val="0"/>
          <w:numId w:val="2"/>
        </w:numPr>
        <w:tabs>
          <w:tab w:val="clear" w:pos="360"/>
          <w:tab w:val="num" w:pos="0"/>
          <w:tab w:val="num" w:pos="567"/>
        </w:tabs>
        <w:suppressAutoHyphens/>
        <w:spacing w:after="0" w:line="240" w:lineRule="auto"/>
        <w:ind w:left="567" w:hanging="567"/>
        <w:rPr>
          <w:rFonts w:ascii="Times New Roman" w:hAnsi="Times New Roman"/>
          <w:kern w:val="1"/>
        </w:rPr>
      </w:pPr>
      <w:r w:rsidRPr="00EB4833">
        <w:rPr>
          <w:rFonts w:ascii="Times New Roman" w:hAnsi="Times New Roman"/>
          <w:kern w:val="1"/>
        </w:rPr>
        <w:t>akių ligos;</w:t>
      </w:r>
    </w:p>
    <w:p w:rsidR="00C6264C" w:rsidRPr="00EB4833" w:rsidRDefault="00C6264C" w:rsidP="00C6264C">
      <w:pPr>
        <w:keepNext/>
        <w:keepLines/>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inkstų ligos;</w:t>
      </w:r>
    </w:p>
    <w:p w:rsidR="00C6264C" w:rsidRPr="00EB4833" w:rsidRDefault="00C6264C" w:rsidP="00C6264C">
      <w:pPr>
        <w:widowControl w:val="0"/>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virškinimo trakto ligos;</w:t>
      </w:r>
    </w:p>
    <w:p w:rsidR="00C6264C" w:rsidRPr="00EB4833" w:rsidRDefault="00C6264C" w:rsidP="00C6264C">
      <w:pPr>
        <w:widowControl w:val="0"/>
        <w:numPr>
          <w:ilvl w:val="0"/>
          <w:numId w:val="2"/>
        </w:numPr>
        <w:tabs>
          <w:tab w:val="clear" w:pos="360"/>
          <w:tab w:val="num" w:pos="0"/>
        </w:tabs>
        <w:suppressAutoHyphens/>
        <w:spacing w:after="0" w:line="240" w:lineRule="auto"/>
        <w:ind w:left="567" w:hanging="567"/>
        <w:rPr>
          <w:rFonts w:ascii="Times New Roman" w:hAnsi="Times New Roman"/>
          <w:kern w:val="1"/>
        </w:rPr>
      </w:pPr>
      <w:r w:rsidRPr="00EB4833">
        <w:rPr>
          <w:rFonts w:ascii="Times New Roman" w:hAnsi="Times New Roman"/>
          <w:kern w:val="1"/>
        </w:rPr>
        <w:t>vėžys.</w:t>
      </w:r>
    </w:p>
    <w:p w:rsidR="00C6264C" w:rsidRPr="00EB4833" w:rsidRDefault="00C6264C" w:rsidP="00C6264C">
      <w:pPr>
        <w:widowControl w:val="0"/>
        <w:suppressAutoHyphens/>
        <w:spacing w:after="0" w:line="240" w:lineRule="auto"/>
        <w:rPr>
          <w:rFonts w:ascii="Times New Roman" w:hAnsi="Times New Roman"/>
          <w:kern w:val="1"/>
        </w:rPr>
      </w:pPr>
    </w:p>
    <w:p w:rsidR="00C6264C"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bCs/>
          <w:kern w:val="1"/>
        </w:rPr>
        <w:t xml:space="preserve">Šis vaistas taip pat vartojamas </w:t>
      </w:r>
      <w:r w:rsidRPr="00EB4833">
        <w:rPr>
          <w:rFonts w:ascii="Times New Roman" w:hAnsi="Times New Roman"/>
          <w:kern w:val="1"/>
        </w:rPr>
        <w:t>transplantuotų (persodintų) organų atmetimo reakcijos profilaktikai ir dėl smegenų tinimo pasireiškusiam kaukolės vidaus spaudimui mažinti.</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Kartu su Metypred dažnai vartojama ir kitokių vaistų.</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Gydytojas pasakys, kokiai ligai gydyti ar simptomams lengvinti Jums buvo skirta Metypred.</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2.</w:t>
      </w:r>
      <w:r w:rsidRPr="00EB4833">
        <w:rPr>
          <w:rFonts w:ascii="Times New Roman" w:hAnsi="Times New Roman"/>
          <w:b/>
          <w:kern w:val="1"/>
        </w:rPr>
        <w:tab/>
        <w:t>Kas žinotina prieš vartojant Metypred</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pacing w:after="0" w:line="240" w:lineRule="auto"/>
        <w:contextualSpacing/>
        <w:rPr>
          <w:rFonts w:ascii="Times New Roman" w:hAnsi="Times New Roman"/>
          <w:b/>
          <w:kern w:val="1"/>
        </w:rPr>
      </w:pPr>
      <w:r w:rsidRPr="00EB4833">
        <w:rPr>
          <w:rFonts w:ascii="Times New Roman" w:hAnsi="Times New Roman"/>
          <w:b/>
          <w:kern w:val="1"/>
        </w:rPr>
        <w:t>Metypred vartoti negalima:</w:t>
      </w:r>
    </w:p>
    <w:p w:rsidR="00C6264C" w:rsidRPr="00EB4833" w:rsidRDefault="00C6264C" w:rsidP="00C6264C">
      <w:pPr>
        <w:widowControl w:val="0"/>
        <w:numPr>
          <w:ilvl w:val="0"/>
          <w:numId w:val="8"/>
        </w:numPr>
        <w:spacing w:after="0" w:line="240" w:lineRule="auto"/>
        <w:ind w:left="567" w:hanging="567"/>
        <w:contextualSpacing/>
        <w:rPr>
          <w:rFonts w:ascii="Times New Roman" w:hAnsi="Times New Roman"/>
        </w:rPr>
      </w:pPr>
      <w:r w:rsidRPr="00EB4833">
        <w:rPr>
          <w:rFonts w:ascii="Times New Roman" w:hAnsi="Times New Roman"/>
        </w:rPr>
        <w:t>jeigu sergate grybelių sukelta liga, pažeidusia visą Jūsų kūną;</w:t>
      </w:r>
    </w:p>
    <w:p w:rsidR="00C6264C" w:rsidRPr="00EB4833" w:rsidRDefault="00C6264C" w:rsidP="00C6264C">
      <w:pPr>
        <w:keepNext/>
        <w:keepLines/>
        <w:widowControl w:val="0"/>
        <w:numPr>
          <w:ilvl w:val="0"/>
          <w:numId w:val="8"/>
        </w:numPr>
        <w:spacing w:after="0" w:line="240" w:lineRule="auto"/>
        <w:ind w:left="567" w:hanging="567"/>
        <w:contextualSpacing/>
        <w:rPr>
          <w:rFonts w:ascii="Times New Roman" w:hAnsi="Times New Roman"/>
        </w:rPr>
      </w:pPr>
      <w:r w:rsidRPr="00EB4833">
        <w:rPr>
          <w:rFonts w:ascii="Times New Roman" w:hAnsi="Times New Roman"/>
        </w:rPr>
        <w:t>jeigu sergate bet kokia kita infekcine liga, pažeidusia visą Jūsų kūną ir kuri nėra gydoma tinkamais vaistais;</w:t>
      </w:r>
    </w:p>
    <w:p w:rsidR="00C6264C" w:rsidRPr="00EB4833" w:rsidRDefault="00C6264C" w:rsidP="00C6264C">
      <w:pPr>
        <w:keepNext/>
        <w:keepLines/>
        <w:widowControl w:val="0"/>
        <w:numPr>
          <w:ilvl w:val="0"/>
          <w:numId w:val="4"/>
        </w:numPr>
        <w:suppressAutoHyphens/>
        <w:spacing w:after="0" w:line="240" w:lineRule="auto"/>
        <w:ind w:left="567" w:hanging="567"/>
        <w:contextualSpacing/>
        <w:rPr>
          <w:rFonts w:ascii="Times New Roman" w:hAnsi="Times New Roman"/>
          <w:kern w:val="1"/>
        </w:rPr>
      </w:pPr>
      <w:r w:rsidRPr="00EB4833">
        <w:rPr>
          <w:rFonts w:ascii="Times New Roman" w:hAnsi="Times New Roman"/>
          <w:kern w:val="1"/>
        </w:rPr>
        <w:t>jeigu yra alergija metilprednizolonui arba bet kuriai pagalbinei šio vaisto medžiagai (jos išvardytos 6 skyriuje</w:t>
      </w:r>
      <w:r w:rsidRPr="00EB4833">
        <w:rPr>
          <w:rFonts w:ascii="Times New Roman" w:eastAsia="Times New Roman" w:hAnsi="Times New Roman"/>
          <w:kern w:val="1"/>
        </w:rPr>
        <w:t>).</w:t>
      </w:r>
    </w:p>
    <w:p w:rsidR="00C6264C" w:rsidRPr="00EB4833" w:rsidRDefault="00C6264C" w:rsidP="00C6264C">
      <w:pPr>
        <w:widowControl w:val="0"/>
        <w:suppressAutoHyphens/>
        <w:spacing w:after="0" w:line="240" w:lineRule="auto"/>
        <w:ind w:left="567"/>
        <w:rPr>
          <w:rFonts w:ascii="Times New Roman" w:hAnsi="Times New Roman"/>
          <w:kern w:val="1"/>
        </w:rPr>
      </w:pPr>
    </w:p>
    <w:p w:rsidR="00C6264C"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Informaciją apie skiepus žr. skyriuje „Įspėjimai ir atsargumo priemonės“</w:t>
      </w:r>
    </w:p>
    <w:p w:rsidR="00C6264C" w:rsidRPr="00EB4833" w:rsidRDefault="00C6264C" w:rsidP="00C6264C">
      <w:pPr>
        <w:widowControl w:val="0"/>
        <w:suppressAutoHyphens/>
        <w:spacing w:after="0" w:line="240" w:lineRule="auto"/>
        <w:ind w:left="567" w:hanging="567"/>
        <w:rPr>
          <w:rFonts w:ascii="Times New Roman" w:hAnsi="Times New Roman"/>
          <w:b/>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Įspėjimai ir atsargumo priemonės</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Pasitarkite su gydytoju prieš pradėdami vartoti Metypred, jei Jums yra:</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alergija žinomiems vaistams (taip pat žr. skyrių „Metypred vartoti negalima“). Pasireiškė su šiuo vaistu susijusių alerginių reakcijų, kurios retais atvejais gali būti net gyvybei pavojingos (anafilaksinis šokas). Simptomai gali būti šie: kvėpavimo takų susiaurėjimas, mažas kraujospūdis, neaiški kalba, greitas arba lėtas pulsas, odos, lūpų ir nagų guolių mėlynavimas, viduriavimas, pykinimas ir vėmimas;</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parazitų sukelta infekcinė liga arba manote, kad Jūs galite sirgti tokia liga;</w:t>
      </w:r>
    </w:p>
    <w:p w:rsidR="00C6264C" w:rsidRPr="00EB4833" w:rsidRDefault="00C6264C" w:rsidP="00C6264C">
      <w:pPr>
        <w:widowControl w:val="0"/>
        <w:tabs>
          <w:tab w:val="left" w:pos="567"/>
        </w:tabs>
        <w:suppressAutoHyphens/>
        <w:spacing w:after="0" w:line="240" w:lineRule="auto"/>
        <w:ind w:left="567" w:hanging="567"/>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r>
      <w:r w:rsidRPr="00EB4833">
        <w:rPr>
          <w:rFonts w:ascii="Times New Roman" w:hAnsi="Times New Roman"/>
          <w:kern w:val="1"/>
        </w:rPr>
        <w:t>būklė</w:t>
      </w:r>
      <w:r w:rsidRPr="00EB4833">
        <w:rPr>
          <w:rFonts w:ascii="Times New Roman" w:eastAsia="Times New Roman" w:hAnsi="Times New Roman"/>
          <w:kern w:val="1"/>
        </w:rPr>
        <w:t>, kurią sukelia per didelis hormono kortizolio kiekis organizme (Kušingo (</w:t>
      </w:r>
      <w:r w:rsidRPr="00EB4833">
        <w:rPr>
          <w:rFonts w:ascii="Times New Roman" w:eastAsia="Times New Roman" w:hAnsi="Times New Roman"/>
          <w:i/>
          <w:kern w:val="1"/>
        </w:rPr>
        <w:t>Cushing</w:t>
      </w:r>
      <w:r w:rsidRPr="00EB4833">
        <w:rPr>
          <w:rFonts w:ascii="Times New Roman" w:eastAsia="Times New Roman" w:hAnsi="Times New Roman"/>
          <w:kern w:val="1"/>
        </w:rPr>
        <w:t>) sindromas). Šis vaistas gali jį sukelti arba sunkinti;</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skydliaukės funkcijos susilpnėjimas (hipotirozė), kadangi gali stiprėti šio vaisto sukeliami efektai;</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traukuliai (epilepsija);</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nervo ir raumens jungties pažeidimas, vadinamas generalizuota miastenija (</w:t>
      </w:r>
      <w:r w:rsidRPr="00EB4833">
        <w:rPr>
          <w:rFonts w:ascii="Times New Roman" w:eastAsia="Times New Roman" w:hAnsi="Times New Roman"/>
          <w:i/>
          <w:kern w:val="1"/>
        </w:rPr>
        <w:t>myasthenia gravis</w:t>
      </w:r>
      <w:r w:rsidRPr="00EB4833">
        <w:rPr>
          <w:rFonts w:ascii="Times New Roman" w:eastAsia="Times New Roman" w:hAnsi="Times New Roman"/>
          <w:kern w:val="1"/>
        </w:rPr>
        <w:t>), nes ji gali būti ūminės išplitusios raumenų ligos priežastimi;</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širdies ir kraujagyslių liga (pvz., širdies nepakankamumas, aukštas kraujo spaudimas, neseniai buvęs širdies smūgis), arba širdies ir kraujagyslių ligų rizikos faktoriai (pvz., nutukimas, didelė cholesterolio koncentracija);</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skrandžio,</w:t>
      </w:r>
      <w:r w:rsidRPr="00EB4833">
        <w:rPr>
          <w:rFonts w:ascii="Times New Roman" w:hAnsi="Times New Roman"/>
          <w:kern w:val="1"/>
        </w:rPr>
        <w:t xml:space="preserve"> dvylikapirštės žarnos </w:t>
      </w:r>
      <w:r w:rsidRPr="00EB4833">
        <w:rPr>
          <w:rFonts w:ascii="Times New Roman" w:eastAsia="Times New Roman" w:hAnsi="Times New Roman"/>
          <w:kern w:val="1"/>
        </w:rPr>
        <w:t xml:space="preserve">arba gerklės </w:t>
      </w:r>
      <w:r w:rsidRPr="00EB4833">
        <w:rPr>
          <w:rFonts w:ascii="Times New Roman" w:hAnsi="Times New Roman"/>
          <w:kern w:val="1"/>
        </w:rPr>
        <w:t xml:space="preserve">opa, </w:t>
      </w:r>
      <w:r w:rsidRPr="00EB4833">
        <w:rPr>
          <w:rFonts w:ascii="Times New Roman" w:eastAsia="Times New Roman" w:hAnsi="Times New Roman"/>
          <w:kern w:val="1"/>
        </w:rPr>
        <w:t>uždegiminė žarnų liga;</w:t>
      </w:r>
    </w:p>
    <w:p w:rsidR="00C6264C" w:rsidRPr="00EB4833" w:rsidRDefault="00C6264C" w:rsidP="00C6264C">
      <w:pPr>
        <w:widowControl w:val="0"/>
        <w:tabs>
          <w:tab w:val="left" w:pos="567"/>
        </w:tabs>
        <w:suppressAutoHyphens/>
        <w:spacing w:after="0" w:line="240" w:lineRule="auto"/>
        <w:ind w:left="567" w:hanging="567"/>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r>
      <w:r w:rsidRPr="00EB4833">
        <w:rPr>
          <w:rFonts w:ascii="Times New Roman" w:hAnsi="Times New Roman"/>
          <w:kern w:val="1"/>
        </w:rPr>
        <w:t xml:space="preserve">žarnyno </w:t>
      </w:r>
      <w:r w:rsidRPr="00EB4833">
        <w:rPr>
          <w:rFonts w:ascii="Times New Roman" w:eastAsia="Times New Roman" w:hAnsi="Times New Roman"/>
          <w:kern w:val="1"/>
        </w:rPr>
        <w:t>anastomozė (būklė po dalies žarnyno chirurginio pašalinimo);</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kraujo krešuliai kraujagyslėse arba jautrumas kraujo krešulių susidarymui;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antinksčių navikas (feochromocitoma);</w:t>
      </w:r>
    </w:p>
    <w:p w:rsidR="00C6264C" w:rsidRPr="0030750C" w:rsidRDefault="00C6264C" w:rsidP="00C6264C">
      <w:pPr>
        <w:widowControl w:val="0"/>
        <w:numPr>
          <w:ilvl w:val="0"/>
          <w:numId w:val="9"/>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 xml:space="preserve">sunki depresija, maniakinė depresija (bipolinis sutrikimas) ar psichozė. Tai apima depresiją ar psichozę, buvusią prieš steroidinių vaistų, tokių kaip </w:t>
      </w:r>
      <w:r w:rsidRPr="00EB4833">
        <w:rPr>
          <w:rFonts w:ascii="Times New Roman" w:hAnsi="Times New Roman"/>
          <w:kern w:val="1"/>
        </w:rPr>
        <w:t>Metypred, vartojimą, ar jei šiomis ligomis sirgo šeimos nariai</w:t>
      </w:r>
      <w:r>
        <w:rPr>
          <w:rFonts w:ascii="Times New Roman" w:hAnsi="Times New Roman"/>
          <w:kern w:val="1"/>
        </w:rPr>
        <w:t>;</w:t>
      </w:r>
    </w:p>
    <w:p w:rsidR="00C6264C" w:rsidRPr="00EB4833" w:rsidRDefault="00C6264C" w:rsidP="00C6264C">
      <w:pPr>
        <w:widowControl w:val="0"/>
        <w:tabs>
          <w:tab w:val="left" w:pos="567"/>
        </w:tabs>
        <w:suppressAutoHyphens/>
        <w:spacing w:after="0" w:line="240" w:lineRule="auto"/>
        <w:ind w:left="567" w:hanging="567"/>
        <w:contextualSpacing/>
        <w:rPr>
          <w:rFonts w:ascii="Times New Roman" w:eastAsia="Times New Roman" w:hAnsi="Times New Roman"/>
          <w:kern w:val="1"/>
        </w:rPr>
      </w:pPr>
      <w:r w:rsidRPr="009850AF">
        <w:rPr>
          <w:rFonts w:ascii="Times New Roman" w:hAnsi="Times New Roman"/>
          <w:kern w:val="1"/>
        </w:rPr>
        <w:t>-</w:t>
      </w:r>
      <w:r w:rsidRPr="009850AF">
        <w:rPr>
          <w:rFonts w:ascii="Times New Roman" w:hAnsi="Times New Roman"/>
          <w:kern w:val="1"/>
        </w:rPr>
        <w:tab/>
        <w:t xml:space="preserve">skleroderma (t. p. žinoma, kaip sisteminė sklerozė, autoimuninis sutrikimas), nes </w:t>
      </w:r>
      <w:r>
        <w:rPr>
          <w:rFonts w:ascii="Times New Roman" w:hAnsi="Times New Roman"/>
          <w:kern w:val="1"/>
        </w:rPr>
        <w:t xml:space="preserve">dėl </w:t>
      </w:r>
      <w:r w:rsidRPr="009850AF">
        <w:rPr>
          <w:rFonts w:ascii="Times New Roman" w:eastAsia="Times New Roman" w:hAnsi="Times New Roman"/>
          <w:kern w:val="1"/>
        </w:rPr>
        <w:t xml:space="preserve">kortikosteroidų, įskaitant metilprednizolona, </w:t>
      </w:r>
      <w:r>
        <w:rPr>
          <w:rFonts w:ascii="Times New Roman" w:eastAsia="Times New Roman" w:hAnsi="Times New Roman"/>
          <w:kern w:val="1"/>
        </w:rPr>
        <w:t xml:space="preserve">vartojimo </w:t>
      </w:r>
      <w:r w:rsidRPr="009850AF">
        <w:rPr>
          <w:rFonts w:ascii="Times New Roman" w:hAnsi="Times New Roman"/>
          <w:kern w:val="1"/>
        </w:rPr>
        <w:t>gali padidėti sunkios komplikacijos, t. y. sklerodermos sukeltos inkstų krizės, rizika. Sklerodermos sukelta inkstų krizė pasireiškia padidėjusiu kraujospūdžiu ir sumažėjusiu šlapimo išsiskyrimu.</w:t>
      </w:r>
      <w:r>
        <w:rPr>
          <w:rFonts w:ascii="Times New Roman" w:hAnsi="Times New Roman"/>
          <w:kern w:val="1"/>
        </w:rPr>
        <w:t xml:space="preserve"> </w:t>
      </w:r>
      <w:r w:rsidRPr="00D32CE9">
        <w:rPr>
          <w:rFonts w:ascii="Times New Roman" w:hAnsi="Times New Roman"/>
          <w:kern w:val="1"/>
        </w:rPr>
        <w:t>Gydytojas gali Jums patarti reguliariai tikrintis kraujospūdį ir tirti šlapimą.</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Be to, pasakykite gydytojui, jeigu:</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sergate tuberkulioze;</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sergate cukriniu diabetu. Šis vaistas gali didinti cukraus koncentraciją kraujyje, sunkinti cukrinį diabetą arba vaisto vartojant ilgą laiką, gali būti cukrinio diabeto atsiradimo priežastimi;</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sergate nustatytu emociniu nestabilumu arba psichoze;</w:t>
      </w:r>
    </w:p>
    <w:p w:rsidR="00C6264C" w:rsidRPr="00EB4833" w:rsidRDefault="00C6264C" w:rsidP="00C6264C">
      <w:pPr>
        <w:widowControl w:val="0"/>
        <w:tabs>
          <w:tab w:val="left" w:pos="567"/>
        </w:tabs>
        <w:suppressAutoHyphens/>
        <w:spacing w:after="0" w:line="240" w:lineRule="auto"/>
        <w:ind w:left="567" w:hanging="567"/>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 xml:space="preserve">sergate inkstų liga arba </w:t>
      </w:r>
      <w:r w:rsidRPr="00EB4833">
        <w:rPr>
          <w:rFonts w:ascii="Times New Roman" w:hAnsi="Times New Roman"/>
          <w:kern w:val="1"/>
        </w:rPr>
        <w:t>inkstų nepakankamumas.</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pasireiškė sunkios infekcijos sukeltas šokas;</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šio vaisto vartojate kartu su acetilsalicilo rūgštimi arba nesteroidiniais vaistais nuo uždegimo (dar vadinamais NVNU);</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atsiranda steroidų vartojimo nutraukimo simptomų, įskaitant apetito netekimą, pykinimą, vėmimą, letargiją, galvos skausmą, karščiavimą, sąnarių skausmą, odos lupimąsi, raumenų skausmą, kūno svorio sumažėjimą ir (arba) kraujospūdžio sumažėjimą;</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yra kepenų arba tulžies sistemos sutrikimų;</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yra nervų sistemos sutrikimų, sukeliančių, pvz., tirpimą, stiprų nuovargį arba raumenų silpnumą;</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sergate glaukoma (yra padidėjęs akispūdis) arba ja yra sirgę kraujo giminaičiai;</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yra pūslelinės viruso sukelta akių infekcija;</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yra regos nervo pažeidimas arba katarakta (tokio poveikio požymis yra blogėjantis regėjimas);</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sergate regos sutrikimą sukeliančia akių liga, vadinama centrine sunkia retinopatija;</w:t>
      </w:r>
    </w:p>
    <w:p w:rsidR="00C6264C" w:rsidRPr="00EB4833" w:rsidRDefault="00C6264C" w:rsidP="00C6264C">
      <w:pPr>
        <w:widowControl w:val="0"/>
        <w:numPr>
          <w:ilvl w:val="0"/>
          <w:numId w:val="6"/>
        </w:numPr>
        <w:tabs>
          <w:tab w:val="left"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yra galvos trauma.</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Raumenų simptomai</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r w:rsidRPr="00EB4833">
        <w:rPr>
          <w:rFonts w:ascii="Times New Roman" w:eastAsia="Times New Roman" w:hAnsi="Times New Roman"/>
          <w:kern w:val="1"/>
        </w:rPr>
        <w:t>Vartojant dideles</w:t>
      </w:r>
      <w:r w:rsidRPr="00EB4833">
        <w:rPr>
          <w:rFonts w:ascii="Times New Roman" w:hAnsi="Times New Roman"/>
          <w:kern w:val="1"/>
        </w:rPr>
        <w:t xml:space="preserve"> kortikosteroidų</w:t>
      </w:r>
      <w:r w:rsidRPr="00EB4833">
        <w:rPr>
          <w:rFonts w:ascii="Times New Roman" w:eastAsia="Times New Roman" w:hAnsi="Times New Roman"/>
          <w:kern w:val="1"/>
        </w:rPr>
        <w:t xml:space="preserve"> dozes, gali pasireikšti ūminė raumenų liga, pažeidžianti visą kūną ir net sukelianti visišką paralyžių. Todėl, pajutus bet kokius raumenų simptomus</w:t>
      </w:r>
      <w:r w:rsidRPr="00EB4833">
        <w:rPr>
          <w:rFonts w:ascii="Times New Roman" w:hAnsi="Times New Roman"/>
          <w:kern w:val="1"/>
        </w:rPr>
        <w:t xml:space="preserve">, reikia </w:t>
      </w:r>
      <w:r w:rsidRPr="00EB4833">
        <w:rPr>
          <w:rFonts w:ascii="Times New Roman" w:eastAsia="Times New Roman" w:hAnsi="Times New Roman"/>
          <w:kern w:val="1"/>
        </w:rPr>
        <w:t xml:space="preserve">nedelsiant </w:t>
      </w:r>
      <w:r w:rsidRPr="00EB4833">
        <w:rPr>
          <w:rFonts w:ascii="Times New Roman" w:hAnsi="Times New Roman"/>
          <w:kern w:val="1"/>
        </w:rPr>
        <w:t>kreiptis į gydytoją.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Jautrumas infekcijoms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Šis vaistas gali didinti Jūsų imlumą infekcijoms arba, susirgus infekcine liga, slėpti jos simptomus. Jei gydymo laikotarpiu pasireiškia kokie nors infekcinės ligos simptomai, siekiant išvengti bet kokių sunkių padarinių, reikia nedelsiant kreiptis į gydytoją.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hAnsi="Times New Roman"/>
          <w:i/>
          <w:kern w:val="1"/>
        </w:rPr>
        <w:t>Stresas</w:t>
      </w: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Jei gydymo laikotarpiu esate arba būsite išskirtinai sunkaus streso būklėje, kreipkitės į gydytoją. Gali prireikti gydymą koreguoti.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Psichikos sutrikimai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Su šio vaisto vartojimu gali būti susiję tokie sutrikimai: gali pasireikšti arba sunkėti psichikos sutrikimai, pvz., euforija, nemiga, nuotaikos pakitimai, asmenybės pokyčiai, sunki depresija arba neabejotini psichozės simptomai. Paprastai, pradėjus gydymą simptomai pasireiškia po poros parų ar savaičių.</w:t>
      </w:r>
    </w:p>
    <w:p w:rsidR="00C6264C"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Be to, tokie psichikos sutrikimo simptomai gali atsirasti sumažinus vaisto dozę arba tuoj pat po gydymo nutraukimo. Jei Jums pasireiškė tokių simptomų, kreipkitės į gydytoją, nes gali prireikti koreguoti dozę.</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hAnsi="Times New Roman"/>
          <w:i/>
          <w:kern w:val="1"/>
        </w:rPr>
        <w:t xml:space="preserve">Akių </w:t>
      </w:r>
      <w:r w:rsidRPr="00EB4833">
        <w:rPr>
          <w:rFonts w:ascii="Times New Roman" w:eastAsia="Times New Roman" w:hAnsi="Times New Roman"/>
          <w:i/>
          <w:kern w:val="1"/>
        </w:rPr>
        <w:t>simptomai</w:t>
      </w: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Šis vaistas gali sukelti įvairių akių sutrikimų, įskaitant akispūdžio padidėjimą. Jeigu gydymo šiuo vaistu metu atsiranda bet kokių su akimis susijusių simptomų, akių infekcija arba regos sutrikimų (pradedate matyti lyg per miglą arba pasireiškia kiti regėjimo sutrikimai), kreipkitės į gydytoją.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Default="00C6264C" w:rsidP="00C6264C">
      <w:pPr>
        <w:widowControl w:val="0"/>
        <w:tabs>
          <w:tab w:val="left" w:pos="567"/>
        </w:tabs>
        <w:suppressAutoHyphens/>
        <w:spacing w:after="0" w:line="240" w:lineRule="auto"/>
        <w:rPr>
          <w:rFonts w:ascii="Times New Roman" w:eastAsia="Times New Roman" w:hAnsi="Times New Roman"/>
          <w:i/>
          <w:kern w:val="1"/>
        </w:rPr>
      </w:pPr>
      <w:r w:rsidRPr="00EB4833">
        <w:rPr>
          <w:rFonts w:ascii="Times New Roman" w:eastAsia="Times New Roman" w:hAnsi="Times New Roman"/>
          <w:i/>
          <w:kern w:val="1"/>
        </w:rPr>
        <w:t>Vakcinacija</w:t>
      </w:r>
    </w:p>
    <w:p w:rsidR="00C6264C"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Jei Jūs šio vaisto vartojate imuninę sistemą slopinamosiomis dozėmis, skiepytis nei gyva, nei susilpninta vakcina negalima. Jei gydymo kortikosteroidu laikotarpiu prireikia skiepytis, pasitarkite su gydytoju.</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Poveikis kraujospūdžiui ir laboratorinių rodmenų vertei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Jei vaisto vartojama didelėmis dozėmis arba ilgą laiką, retais atvejais gali padidėti kraujo spaudimas, organizme susilaikyti didesnis natrio ir vandens kiekis (atsiranda paburkimai), padidėti kalio ir kalcio išsiskyrimas arba kraujyje – padidėti lipidų koncentracija. Siekiant valdyti šiuos šalutinius efektus, gydytojas gali pakoreguoti Jūsų dietą.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i/>
          <w:kern w:val="1"/>
        </w:rPr>
      </w:pPr>
      <w:r w:rsidRPr="00EB4833">
        <w:rPr>
          <w:rFonts w:ascii="Times New Roman" w:eastAsia="Times New Roman" w:hAnsi="Times New Roman"/>
          <w:i/>
          <w:kern w:val="1"/>
        </w:rPr>
        <w:t>Hormoninis poveikis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Per didelis kortikosteroidų kiekis organizme (ypač jeigu tai trunka ilgai) gali sukelti Kušingo sindromo simptomų: riebalinės kupros atsiradimą tarp menčių, veido apvalumą ir rožines arba violetines odos tempimo žymes. Be to, Kušingo sindromas gali sukelti didelį kraujospūdį, kaulinio audinio nykimą ir (kartais) cukrinį diabetą. Jūs būsite stebimas, ar neatsiranda toks poveikis, ir, jeigu reikės, gydytojas atitinkamai koreguos gydymą.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Be to, ilgalaikis šio vaisto vartojimas Jūsų organizme gali sukelti antinksčių funkcijos ir kortizolio susidarymo slopinimą. Dėl šios priežasties gydymas bus nutraukiamas laipsniškai mažinant dozę. Jeigu Jūsų organizme kortizolio susidarymas yra nuslopintas, staigus vaisto vartojimo nutraukimas gali sukelti nutraukimo simptomų ir net gyvybei pavojingą būklę, pasireiškiančią stipriu vėmimu ir viduriavimu, mažu kraujospūdžiu ir sąmonės netekimu.</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hAnsi="Times New Roman"/>
          <w:i/>
          <w:kern w:val="1"/>
        </w:rPr>
        <w:t>Kiti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Didelės kortikosteroidų dozės arba ilgalaikis gydymas gali sukelti ūminį kasos uždegimą (pankreatitą), osteoporozę (kaulų retėjimą), arba piktybinius kraujagyslių navikus (Kapoši sarkomą), arba epidūrinę lipomatozę (riebalinio audinio kaupimąsi ertmėje aplink nugaros smegenų kanalą).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Vartojant šio vaisto kartu su antibiotikais, vadinamais fluorochinolonais, didėja sausgyslių plyšimo rizika (ypač senyviems pacientams).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Dėl tokio poveikio Jus reikia sekti ir, prireikus, gydytojas turi atitinkamai koreguoti gydymą.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Senyviems pacientams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Šio vaisto šalutiniai poveikiai gali turėti rimtesnių pasekmių senyvo amžiaus pacientams.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i/>
          <w:kern w:val="1"/>
        </w:rPr>
        <w:t>Vaikams</w:t>
      </w: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Gydymas didelėmis šio vaisto dozėmis arba ilgai vaikams gali sukelti augimo ir vystymosi sutrikimus, padidinti spaudimą kaukolės viduje (simptomai: galvos skausmas, pykinimas ar vėmimas, pusiausvyros sutrikimas, sumažėjęs sąmoningumas), arba sukelti kasos uždegimą (simptomai: skausmas viršutinėje skrandžio dalyje). Jūs turite atidžiai sekti savo vaiką, ar jam nepasireiškė šių sutrikimų požymių ir simptomų.</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b/>
          <w:kern w:val="1"/>
        </w:rPr>
        <w:t>Kiti vaistai ir Metypred</w:t>
      </w:r>
    </w:p>
    <w:p w:rsidR="00C6264C" w:rsidRPr="00EB4833" w:rsidRDefault="00C6264C" w:rsidP="00C6264C">
      <w:pPr>
        <w:keepNext/>
        <w:keepLines/>
        <w:tabs>
          <w:tab w:val="left" w:pos="567"/>
        </w:tabs>
        <w:suppressAutoHyphens/>
        <w:spacing w:after="0" w:line="240" w:lineRule="auto"/>
        <w:rPr>
          <w:rFonts w:ascii="Times New Roman" w:hAnsi="Times New Roman"/>
          <w:kern w:val="1"/>
        </w:rPr>
      </w:pPr>
      <w:r w:rsidRPr="00EB4833">
        <w:rPr>
          <w:rFonts w:ascii="Times New Roman" w:hAnsi="Times New Roman"/>
          <w:kern w:val="1"/>
        </w:rPr>
        <w:t>Jeigu vartojate arba neseniai vartojote kitų vaistų arba dėl to nesate tikri, įskaitant įsigytus be recepto, apie tai pasakykite gydytojui arba vaistininkui.</w:t>
      </w:r>
    </w:p>
    <w:p w:rsidR="00C6264C" w:rsidRPr="00EB4833" w:rsidRDefault="00C6264C" w:rsidP="00C6264C">
      <w:pPr>
        <w:keepNext/>
        <w:keepLines/>
        <w:tabs>
          <w:tab w:val="left" w:pos="567"/>
        </w:tabs>
        <w:suppressAutoHyphens/>
        <w:spacing w:after="0" w:line="240" w:lineRule="auto"/>
        <w:rPr>
          <w:rFonts w:ascii="Times New Roman" w:hAnsi="Times New Roman"/>
          <w:kern w:val="1"/>
        </w:rPr>
      </w:pPr>
    </w:p>
    <w:p w:rsidR="00C6264C" w:rsidRPr="00EB4833" w:rsidRDefault="00C6264C" w:rsidP="00C6264C">
      <w:pPr>
        <w:keepNext/>
        <w:keepLines/>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Jeigu Metypred vartojate kartu su toliau išvardytais vaistais, kai kurių vaistų arba Metypred veiksmingumas gali pasikeisti arba pasireikšti šalutinis poveikis. Gydytojas gali norėti atidžiai Jus stebėti, jeigu vartojate šių vaistų:</w:t>
      </w:r>
    </w:p>
    <w:p w:rsidR="00C6264C" w:rsidRPr="00EB4833" w:rsidRDefault="00C6264C" w:rsidP="00C6264C">
      <w:pPr>
        <w:widowControl w:val="0"/>
        <w:tabs>
          <w:tab w:val="left" w:pos="0"/>
        </w:tabs>
        <w:suppressAutoHyphens/>
        <w:spacing w:after="0" w:line="240" w:lineRule="auto"/>
        <w:ind w:left="567" w:hanging="567"/>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 xml:space="preserve">kai kurių antibiotikų, </w:t>
      </w:r>
      <w:r w:rsidRPr="00EB4833">
        <w:rPr>
          <w:rFonts w:ascii="Times New Roman" w:hAnsi="Times New Roman"/>
          <w:kern w:val="1"/>
        </w:rPr>
        <w:t xml:space="preserve">pvz., </w:t>
      </w:r>
      <w:r w:rsidRPr="00EB4833">
        <w:rPr>
          <w:rFonts w:ascii="Times New Roman" w:eastAsia="Times New Roman" w:hAnsi="Times New Roman"/>
          <w:kern w:val="1"/>
        </w:rPr>
        <w:t>fluorochinolono, eritromicino, klaritromicino</w:t>
      </w:r>
      <w:r w:rsidRPr="00EB4833">
        <w:rPr>
          <w:rFonts w:ascii="Times New Roman" w:hAnsi="Times New Roman"/>
          <w:kern w:val="1"/>
        </w:rPr>
        <w:t xml:space="preserve"> ir </w:t>
      </w:r>
      <w:r w:rsidRPr="00EB4833">
        <w:rPr>
          <w:rFonts w:ascii="Times New Roman" w:eastAsia="Times New Roman" w:hAnsi="Times New Roman"/>
          <w:kern w:val="1"/>
        </w:rPr>
        <w:t>troleandomicino</w:t>
      </w:r>
      <w:r w:rsidRPr="00EB4833">
        <w:rPr>
          <w:rFonts w:ascii="Times New Roman" w:hAnsi="Times New Roman"/>
          <w:kern w:val="1"/>
        </w:rPr>
        <w:t xml:space="preserve"> (jų vartojama </w:t>
      </w:r>
      <w:r w:rsidRPr="00EB4833">
        <w:rPr>
          <w:rFonts w:ascii="Times New Roman" w:eastAsia="Times New Roman" w:hAnsi="Times New Roman"/>
          <w:kern w:val="1"/>
        </w:rPr>
        <w:t>bakterijų sukeltoms infekcinėms ligoms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vaistų nuo grybelių (pvz., itrakonazolo, amfotericino B) (vartojamų grybelinėms infekcijoms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ketokonazolo (išskyrus šampūną), vartojamo Kušingo sindromui gydyti, t. y. būklei, kai organizmas gamina per daug kortizolio;</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tokių vaistų kaip distigminas ir neostigminas (jie vartojami gydyti raumenų sutrikimą generalizuotą miasteniją (</w:t>
      </w:r>
      <w:r w:rsidRPr="00EB4833">
        <w:rPr>
          <w:rFonts w:ascii="Times New Roman" w:eastAsia="Times New Roman" w:hAnsi="Times New Roman"/>
          <w:i/>
          <w:kern w:val="1"/>
        </w:rPr>
        <w:t>myasthenia gravis</w:t>
      </w:r>
      <w:r w:rsidRPr="00EB4833">
        <w:rPr>
          <w:rFonts w:ascii="Times New Roman" w:eastAsia="Times New Roman" w:hAnsi="Times New Roman"/>
          <w:kern w:val="1"/>
        </w:rPr>
        <w:t>);</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izoniazido, rifampicino (tuberkuliozei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aprepitanto, fosaprepitanto (pykinimo profilaktikai);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vaistų, tokių kaip diltiazemas ar mibefradilis (koronarinių arterijų ligai ir dideliam kraujospūdžiui gydyti) arba bet kokių kitų vaistų, vartojamų aukštam kraujospūdžiui gydyti;</w:t>
      </w:r>
    </w:p>
    <w:p w:rsidR="00C6264C" w:rsidRPr="00EB4833" w:rsidRDefault="00C6264C" w:rsidP="00C6264C">
      <w:pPr>
        <w:widowControl w:val="0"/>
        <w:numPr>
          <w:ilvl w:val="0"/>
          <w:numId w:val="9"/>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vaistų, skirtų širdies nepakankamumui gydyti, tokių kaip digoksinas;</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kai kurių vaistų nuo ŽIV (pvz., indinaviro, ritonaviro) ir kobicistato;</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ciklosporino (persodinto organo atmetimo profilaktikai);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estrogeno (kontracepcijai arba menopauzės simptomams lengvinti);</w:t>
      </w:r>
    </w:p>
    <w:p w:rsidR="00C6264C" w:rsidRDefault="00C6264C" w:rsidP="00C6264C">
      <w:pPr>
        <w:widowControl w:val="0"/>
        <w:numPr>
          <w:ilvl w:val="0"/>
          <w:numId w:val="3"/>
        </w:numPr>
        <w:tabs>
          <w:tab w:val="left" w:pos="0"/>
          <w:tab w:val="num" w:pos="567"/>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geriamųjų kraujo krešėjimą mažinančių vaistų (pvz., varfarino);</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vaistų cukriniam diabetui gydyti (vaistų vartojamų dideliam cukraus kiekiui kraujyje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tokių vaistų kaip takrolimuzas (vartojamų po organo persodinimo, siekiant išvengti organo atmetimo);</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vaistų, tokių kaip sirolimuzas, leflunomidas, adalimumabas, kanakinumabas, azatioprinas (vartojamų imuninei sistemai slopinti);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acetilsalicilo rūgšties ir nesteroidinių vaistų nuo uždegimo ir skausmo, pvz., ibuprofeno (jų vartojama lengvam ir vidutinio stiprumo skausmui malšinti);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aminoglutetimido (Kušingo sindromui ir metastazavusiam krūties vėžiui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diuretikų (dar vadinamų šlapimo išsiskyrimą skatinančiais vaistais, kurie vartojami daugeliui būklių, pvz., didelio kraujospūdžio ligai ir patinimams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paprastosios jonažolės (</w:t>
      </w:r>
      <w:r w:rsidRPr="00EB4833">
        <w:rPr>
          <w:rFonts w:ascii="Times New Roman" w:eastAsia="Times New Roman" w:hAnsi="Times New Roman"/>
          <w:i/>
          <w:kern w:val="1"/>
        </w:rPr>
        <w:t>Hypericum perforatum</w:t>
      </w:r>
      <w:r w:rsidRPr="00EB4833">
        <w:rPr>
          <w:rFonts w:ascii="Times New Roman" w:eastAsia="Times New Roman" w:hAnsi="Times New Roman"/>
          <w:kern w:val="1"/>
        </w:rPr>
        <w:t>), t. y. žolinio preparato depresijai gydyti;</w:t>
      </w:r>
    </w:p>
    <w:p w:rsidR="00C6264C"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vidurius laisvinančių vaistų (vartojamų gydyti vidurių užkietėjimą arba jo profilaktikai);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vaistų nuo epilepsijos, pvz., karbamazepino, fenobarbitalio, fenitoino ir primidono (vartojamų epilepsijai gydyti);</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augimo hormono, pvz., somatotropino (jo vartojama vaikų augimo sutrikimui gydyti ir suaugusiesiems, kurių organizme trūksta natūralaus augimo hormono);</w:t>
      </w:r>
    </w:p>
    <w:p w:rsidR="00C6264C" w:rsidRPr="00EB4833" w:rsidRDefault="00C6264C" w:rsidP="00C6264C">
      <w:pPr>
        <w:widowControl w:val="0"/>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mifepristono (vartojamo medikamentiniam nėštumo nutraukimui).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shd w:val="clear" w:color="auto" w:fill="FFFFFF"/>
        <w:spacing w:after="0" w:line="240" w:lineRule="auto"/>
        <w:rPr>
          <w:rFonts w:ascii="Times New Roman" w:eastAsia="Times New Roman" w:hAnsi="Times New Roman"/>
        </w:rPr>
      </w:pPr>
      <w:r w:rsidRPr="00EB4833">
        <w:rPr>
          <w:rFonts w:ascii="Times New Roman" w:eastAsia="Times New Roman" w:hAnsi="Times New Roman"/>
        </w:rPr>
        <w:t>Metilprednizolonas gali sukelti sąveiką su raumenis atpalaiduojančiais vaistais, kurių gali būti vartojama chirurginių operacijų metu. Jeigu Jums planuojama atlikti chirurginę operaciją, gydytojui ir slaugytojui iš anksto pasakykite, kad vartojate metilprednizolono.</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keepNext/>
        <w:keepLines/>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b/>
          <w:kern w:val="1"/>
        </w:rPr>
        <w:t>Metypred vartojimas su gėrimais</w:t>
      </w:r>
    </w:p>
    <w:p w:rsidR="00C6264C" w:rsidRPr="00EB4833" w:rsidRDefault="00C6264C" w:rsidP="00C6264C">
      <w:pPr>
        <w:keepNext/>
        <w:keepLines/>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Gydymo laikotarpiu negalima gerti greipfrutų sulčių, nes jos gali stiprinti šalutinį vaisto poveikį.</w:t>
      </w:r>
    </w:p>
    <w:p w:rsidR="00C6264C" w:rsidRPr="00EB4833" w:rsidRDefault="00C6264C" w:rsidP="00C6264C">
      <w:pPr>
        <w:keepNext/>
        <w:keepLines/>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keepNext/>
        <w:keepLines/>
        <w:widowControl w:val="0"/>
        <w:tabs>
          <w:tab w:val="left" w:pos="567"/>
        </w:tabs>
        <w:suppressAutoHyphens/>
        <w:spacing w:after="0" w:line="240" w:lineRule="auto"/>
        <w:rPr>
          <w:rFonts w:ascii="Times New Roman" w:hAnsi="Times New Roman"/>
          <w:kern w:val="1"/>
        </w:rPr>
      </w:pPr>
      <w:r w:rsidRPr="00EB4833">
        <w:rPr>
          <w:rFonts w:ascii="Times New Roman" w:hAnsi="Times New Roman"/>
          <w:b/>
          <w:kern w:val="1"/>
        </w:rPr>
        <w:t>Nėštumas</w:t>
      </w:r>
      <w:r w:rsidRPr="00EB4833">
        <w:rPr>
          <w:rFonts w:ascii="Times New Roman" w:eastAsia="Times New Roman" w:hAnsi="Times New Roman"/>
          <w:b/>
          <w:kern w:val="1"/>
        </w:rPr>
        <w:t>,</w:t>
      </w:r>
      <w:r w:rsidRPr="00EB4833">
        <w:rPr>
          <w:rFonts w:ascii="Times New Roman" w:hAnsi="Times New Roman"/>
          <w:b/>
          <w:kern w:val="1"/>
        </w:rPr>
        <w:t xml:space="preserve"> žindymo laikotarpis</w:t>
      </w:r>
      <w:r w:rsidRPr="00EB4833">
        <w:rPr>
          <w:rFonts w:ascii="Times New Roman" w:eastAsia="Times New Roman" w:hAnsi="Times New Roman"/>
          <w:b/>
          <w:kern w:val="1"/>
        </w:rPr>
        <w:t xml:space="preserve"> ir vaisingumas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hAnsi="Times New Roman"/>
          <w:kern w:val="1"/>
        </w:rPr>
        <w:t>Jeigu esate nėščia, žindote kūdikį, manote, kad galbūt esate nėščia</w:t>
      </w:r>
      <w:r w:rsidRPr="00EB4833">
        <w:rPr>
          <w:rFonts w:ascii="Times New Roman" w:eastAsia="Times New Roman" w:hAnsi="Times New Roman"/>
          <w:kern w:val="1"/>
        </w:rPr>
        <w:t>,</w:t>
      </w:r>
      <w:r w:rsidRPr="00EB4833">
        <w:rPr>
          <w:rFonts w:ascii="Times New Roman" w:hAnsi="Times New Roman"/>
          <w:kern w:val="1"/>
        </w:rPr>
        <w:t xml:space="preserve"> arba planuojate pastoti, tai prieš vartodama šį vaistą</w:t>
      </w:r>
      <w:r w:rsidRPr="00EB4833">
        <w:rPr>
          <w:rFonts w:ascii="Times New Roman" w:eastAsia="Times New Roman" w:hAnsi="Times New Roman"/>
          <w:kern w:val="1"/>
        </w:rPr>
        <w:t>,</w:t>
      </w:r>
      <w:r w:rsidRPr="00EB4833">
        <w:rPr>
          <w:rFonts w:ascii="Times New Roman" w:hAnsi="Times New Roman"/>
          <w:kern w:val="1"/>
        </w:rPr>
        <w:t xml:space="preserve"> pasitarkite su gydytoju</w:t>
      </w:r>
      <w:r w:rsidRPr="00EB4833">
        <w:rPr>
          <w:rFonts w:ascii="Times New Roman" w:eastAsia="Times New Roman" w:hAnsi="Times New Roman"/>
          <w:kern w:val="1"/>
        </w:rPr>
        <w:t xml:space="preserve"> arba vaistininku, nes jis gali sulėtinti kūdikio augimą.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Katarakta buvo stebima kūdikiams, gimusiems motinoms, kurios nėštumo metu ilgą laiką vartojo kortikosteroidus.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Nėštumo ar kūdikio žindymo laikotarpiu šio vaisto vartoti galima tik tuo atveju, jeigu gydytojas nutars, kad gydymo nauda yra didesnė nei galimas pavojus embrionui ar vaisiui bei kūdikiui.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Kortikosteroidai patenka į motinos pieną.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shd w:val="clear" w:color="auto" w:fill="FFFFFF"/>
        <w:spacing w:after="0" w:line="240" w:lineRule="auto"/>
        <w:rPr>
          <w:rFonts w:ascii="Times New Roman" w:eastAsia="Times New Roman" w:hAnsi="Times New Roman"/>
        </w:rPr>
      </w:pPr>
      <w:r w:rsidRPr="00EB4833">
        <w:rPr>
          <w:rFonts w:ascii="Times New Roman" w:eastAsia="Times New Roman" w:hAnsi="Times New Roman"/>
        </w:rPr>
        <w:t>Gydymas kortikosteroidais gali bloginti spermos kokybę ir sukelti amenorėją (mėnesinių išnykimą vaisingo amžiaus moterims).</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hAnsi="Times New Roman"/>
          <w:kern w:val="1"/>
        </w:rPr>
      </w:pPr>
      <w:r w:rsidRPr="00EB4833">
        <w:rPr>
          <w:rFonts w:ascii="Times New Roman" w:hAnsi="Times New Roman"/>
          <w:b/>
          <w:kern w:val="1"/>
        </w:rPr>
        <w:t>Vairavimas ir mechanizmų valdymas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Vartojant šio vaisto, gali pasireikšti šalutinis poveikis, pvz., svaigti galva, sutrikti regėjimas, atsirasti nuovargis. Jei taip atsitinka, vairuoti automobilio ar dirbti su mechanizmais negalima.</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color w:val="000000"/>
          <w:kern w:val="1"/>
        </w:rPr>
      </w:pPr>
      <w:r w:rsidRPr="00EB4833">
        <w:rPr>
          <w:rFonts w:ascii="Times New Roman" w:hAnsi="Times New Roman"/>
          <w:b/>
          <w:kern w:val="1"/>
        </w:rPr>
        <w:t>Metypred sudėtyje yra laktozės</w:t>
      </w:r>
    </w:p>
    <w:p w:rsidR="00C6264C" w:rsidRDefault="00C6264C" w:rsidP="00C6264C">
      <w:pPr>
        <w:widowControl w:val="0"/>
        <w:suppressAutoHyphens/>
        <w:spacing w:after="0" w:line="240" w:lineRule="auto"/>
        <w:rPr>
          <w:rFonts w:ascii="Times New Roman" w:hAnsi="Times New Roman"/>
          <w:color w:val="000000"/>
          <w:kern w:val="1"/>
        </w:rPr>
      </w:pPr>
      <w:r w:rsidRPr="00EB4833">
        <w:rPr>
          <w:rFonts w:ascii="Times New Roman" w:hAnsi="Times New Roman"/>
          <w:color w:val="000000"/>
          <w:kern w:val="1"/>
        </w:rPr>
        <w:t>Vienoje 4 mg tabletėje yra 67 mg laktozės.</w:t>
      </w:r>
    </w:p>
    <w:p w:rsidR="00C6264C" w:rsidRDefault="00C6264C" w:rsidP="00C6264C">
      <w:pPr>
        <w:widowControl w:val="0"/>
        <w:suppressAutoHyphens/>
        <w:spacing w:after="0" w:line="240" w:lineRule="auto"/>
        <w:rPr>
          <w:rFonts w:ascii="Times New Roman" w:hAnsi="Times New Roman"/>
          <w:color w:val="000000"/>
          <w:kern w:val="1"/>
        </w:rPr>
      </w:pPr>
      <w:r w:rsidRPr="00EB4833">
        <w:rPr>
          <w:rFonts w:ascii="Times New Roman" w:hAnsi="Times New Roman"/>
          <w:color w:val="000000"/>
          <w:kern w:val="1"/>
        </w:rPr>
        <w:t>Vienoje 16 mg tabletėje yra 124 mg laktozės.</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Jeigu gydytojas Jums yra sakęs, kad netoleruojate kokių nors cukraus rūšių, kreipkitės į jį prieš pradėdami vartoti šį vaistą.</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3.</w:t>
      </w:r>
      <w:r w:rsidRPr="00EB4833">
        <w:rPr>
          <w:rFonts w:ascii="Times New Roman" w:hAnsi="Times New Roman"/>
          <w:b/>
          <w:kern w:val="1"/>
        </w:rPr>
        <w:tab/>
        <w:t>Kaip vartoti Metypred</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Visada vartokite šį vaistą tiksliai kaip nurodė gydytojas. Jeigu abejojate, kreipkitės į gydytoją arba vaistininką.</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b/>
          <w:kern w:val="1"/>
        </w:rPr>
        <w:t>Pradinė dozė</w:t>
      </w:r>
      <w:r w:rsidRPr="00EB4833">
        <w:rPr>
          <w:rFonts w:ascii="Times New Roman" w:hAnsi="Times New Roman"/>
          <w:kern w:val="1"/>
        </w:rPr>
        <w:t xml:space="preserve"> nustatoma atsižvelgiant į ligą ir jos sunkumą, paprastai vartojama 4–48 mg paros dozė. Sunkios ūminės ligos atveju gali būti vartojama didesnė dozė.</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b/>
          <w:kern w:val="1"/>
        </w:rPr>
        <w:t>Jei gydoma ilgai</w:t>
      </w:r>
      <w:r w:rsidRPr="00EB4833">
        <w:rPr>
          <w:rFonts w:ascii="Times New Roman" w:hAnsi="Times New Roman"/>
          <w:kern w:val="1"/>
        </w:rPr>
        <w:t>, vartojama mažiausia veiksminga dozė, ją geriausia vartoti kas antrą parą iš ryto.</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b/>
          <w:kern w:val="1"/>
        </w:rPr>
      </w:pPr>
      <w:r w:rsidRPr="00EB4833">
        <w:rPr>
          <w:rFonts w:ascii="Times New Roman" w:hAnsi="Times New Roman"/>
          <w:b/>
          <w:kern w:val="1"/>
        </w:rPr>
        <w:t>Vartojimas vaikams</w:t>
      </w:r>
    </w:p>
    <w:p w:rsidR="00C6264C" w:rsidRPr="00EB4833" w:rsidRDefault="00C6264C" w:rsidP="00C6264C">
      <w:pPr>
        <w:widowControl w:val="0"/>
        <w:suppressAutoHyphens/>
        <w:spacing w:after="0" w:line="240" w:lineRule="auto"/>
        <w:rPr>
          <w:rFonts w:ascii="Times New Roman" w:hAnsi="Times New Roman"/>
          <w:kern w:val="1"/>
          <w:shd w:val="clear" w:color="auto" w:fill="FFFF00"/>
        </w:rPr>
      </w:pPr>
      <w:r w:rsidRPr="00EB4833">
        <w:rPr>
          <w:rFonts w:ascii="Times New Roman" w:hAnsi="Times New Roman"/>
          <w:kern w:val="1"/>
        </w:rPr>
        <w:t>Vaikams rekomenduojama vartoti kiek įmanoma mažesnę dozę ir gydyti kiek įmanoma trumpiau.</w:t>
      </w:r>
    </w:p>
    <w:p w:rsidR="00C6264C" w:rsidRPr="00EB4833" w:rsidRDefault="00C6264C" w:rsidP="00C6264C">
      <w:pPr>
        <w:widowControl w:val="0"/>
        <w:suppressAutoHyphens/>
        <w:spacing w:after="0" w:line="240" w:lineRule="auto"/>
        <w:rPr>
          <w:rFonts w:ascii="Times New Roman" w:hAnsi="Times New Roman"/>
          <w:kern w:val="1"/>
          <w:shd w:val="clear" w:color="auto" w:fill="FFFF00"/>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Gydytojas gali skirti vartoti kitokią dozę nei čia paminėta. Visada vykdykite gydytojo nurodymus.</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Tabletę galima dalyti į lygias dozes.</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Ką daryti pavartojus per didelę Metypred dozę?</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Paprastai Metypred perdozavimas sunkaus poveikio nesukelia. Lėtinis perdozavimas gali sukelti kortizolio susidarymo organizme slopinimą (antinksčių nepakankamumą).</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Jeigu Jūs ar kas nors kitas atsitiktinai išgersite per didelę dozę, kreipkitės į gydytoją.</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r w:rsidRPr="00EB4833">
        <w:rPr>
          <w:rFonts w:ascii="Times New Roman" w:hAnsi="Times New Roman"/>
          <w:kern w:val="1"/>
        </w:rPr>
        <w:t>Perdozavimo atveju simptomams lengvinti Jums bus skiriamas atitinkamas gydymas.</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b/>
          <w:kern w:val="1"/>
        </w:rPr>
      </w:pPr>
      <w:r w:rsidRPr="00EB4833">
        <w:rPr>
          <w:rFonts w:ascii="Times New Roman" w:hAnsi="Times New Roman"/>
          <w:kern w:val="1"/>
        </w:rPr>
        <w:t>Jei kreipsitės į medikus, pasiimkite šį lapelį ir likusias tabletes.</w:t>
      </w:r>
    </w:p>
    <w:p w:rsidR="00C6264C" w:rsidRPr="00EB4833" w:rsidRDefault="00C6264C" w:rsidP="00C6264C">
      <w:pPr>
        <w:widowControl w:val="0"/>
        <w:suppressAutoHyphens/>
        <w:spacing w:after="0" w:line="240" w:lineRule="auto"/>
        <w:ind w:left="567" w:hanging="567"/>
        <w:rPr>
          <w:rFonts w:ascii="Times New Roman" w:hAnsi="Times New Roman"/>
          <w:b/>
          <w:kern w:val="1"/>
        </w:rPr>
      </w:pPr>
    </w:p>
    <w:p w:rsidR="00C6264C" w:rsidRPr="00EB4833" w:rsidRDefault="00C6264C" w:rsidP="00C6264C">
      <w:pPr>
        <w:keepNext/>
        <w:keepLines/>
        <w:widowControl w:val="0"/>
        <w:suppressAutoHyphens/>
        <w:spacing w:after="0" w:line="240" w:lineRule="auto"/>
        <w:ind w:left="567" w:hanging="567"/>
        <w:rPr>
          <w:rFonts w:ascii="Times New Roman" w:hAnsi="Times New Roman"/>
          <w:kern w:val="1"/>
        </w:rPr>
      </w:pPr>
      <w:r w:rsidRPr="00EB4833">
        <w:rPr>
          <w:rFonts w:ascii="Times New Roman" w:hAnsi="Times New Roman"/>
          <w:b/>
          <w:kern w:val="1"/>
        </w:rPr>
        <w:t>Pamiršus pavartoti Metypred</w:t>
      </w:r>
    </w:p>
    <w:p w:rsidR="00C6264C" w:rsidRPr="00EB4833" w:rsidRDefault="00C6264C" w:rsidP="00C6264C">
      <w:pPr>
        <w:keepNext/>
        <w:keepLines/>
        <w:widowControl w:val="0"/>
        <w:suppressAutoHyphens/>
        <w:spacing w:after="0" w:line="240" w:lineRule="auto"/>
        <w:ind w:right="-2"/>
        <w:rPr>
          <w:rFonts w:ascii="Times New Roman" w:hAnsi="Times New Roman"/>
          <w:kern w:val="1"/>
        </w:rPr>
      </w:pPr>
      <w:r w:rsidRPr="00EB4833">
        <w:rPr>
          <w:rFonts w:ascii="Times New Roman" w:hAnsi="Times New Roman"/>
          <w:kern w:val="1"/>
        </w:rPr>
        <w:t>Praleistą dozę išgerkite kiek įmanoma greičiau. Negalima vartoti dvigubos dozės norint kompensuoti praleistą dozę.</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Jei išvykstate atostogauti arba keliaujate, nepamirškite pasiimti pakankamai vaistų.</w:t>
      </w:r>
    </w:p>
    <w:p w:rsidR="00C6264C" w:rsidRPr="00EB4833" w:rsidRDefault="00C6264C" w:rsidP="00C6264C">
      <w:pPr>
        <w:keepNext/>
        <w:keepLines/>
        <w:suppressAutoHyphens/>
        <w:spacing w:after="0" w:line="240" w:lineRule="auto"/>
        <w:ind w:left="567" w:hanging="567"/>
        <w:rPr>
          <w:rFonts w:ascii="Times New Roman" w:hAnsi="Times New Roman"/>
          <w:kern w:val="1"/>
        </w:rPr>
      </w:pPr>
    </w:p>
    <w:p w:rsidR="00C6264C" w:rsidRDefault="00C6264C" w:rsidP="00C6264C">
      <w:pPr>
        <w:keepNext/>
        <w:keepLines/>
        <w:suppressAutoHyphens/>
        <w:spacing w:after="0" w:line="240" w:lineRule="auto"/>
        <w:ind w:left="567" w:hanging="567"/>
        <w:rPr>
          <w:rFonts w:ascii="Times New Roman" w:hAnsi="Times New Roman"/>
          <w:b/>
          <w:kern w:val="1"/>
        </w:rPr>
      </w:pPr>
      <w:r w:rsidRPr="00EB4833">
        <w:rPr>
          <w:rFonts w:ascii="Times New Roman" w:hAnsi="Times New Roman"/>
          <w:b/>
          <w:kern w:val="1"/>
        </w:rPr>
        <w:t>Nustojus vartoti Metypred</w:t>
      </w: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Nenutraukite Metypred vartojimo nepasitarę su gydytoju. Staiga nutraukus vaisto vartojimą gali pasireikšti nutraukimo simptomai, įskaitant apetito netekimą, pykinimą, vėmimą, letargiją, galvos skausmą, karščiavimą, sąnarių skausmą, odos lupimąsi, raumenų skausmą, svorio kritimą arba kraujo spaudimo mažėjimą. Siekiant mažinti tokių simptomų atsiradimo riziką, gydymą reikia nutraukti mažinant dozę tolygiai ir palaipsniui.</w:t>
      </w:r>
    </w:p>
    <w:p w:rsidR="00C6264C" w:rsidRPr="00EB4833" w:rsidRDefault="00C6264C" w:rsidP="00C6264C">
      <w:pPr>
        <w:keepNext/>
        <w:keepLines/>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r w:rsidRPr="00EB4833">
        <w:rPr>
          <w:rFonts w:ascii="Times New Roman" w:hAnsi="Times New Roman"/>
          <w:kern w:val="1"/>
        </w:rPr>
        <w:t>Jeigu kiltų daugiau klausimų dėl šio vaisto vartojimo, kreipkitės į gydytoją arba vaistininką.</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caps/>
          <w:kern w:val="1"/>
        </w:rPr>
        <w:t>4.</w:t>
      </w:r>
      <w:r w:rsidRPr="00EB4833">
        <w:rPr>
          <w:rFonts w:ascii="Times New Roman" w:hAnsi="Times New Roman"/>
          <w:b/>
          <w:caps/>
          <w:kern w:val="1"/>
        </w:rPr>
        <w:tab/>
        <w:t>G</w:t>
      </w:r>
      <w:r w:rsidRPr="00EB4833">
        <w:rPr>
          <w:rFonts w:ascii="Times New Roman" w:hAnsi="Times New Roman"/>
          <w:b/>
          <w:kern w:val="1"/>
        </w:rPr>
        <w:t>alimas šalutinis poveikis</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Šis vaistas, kaip ir kiti, gali sukelti šalutinį poveikį, nors jis pasireiškia ne visiems žmonėms. Gydymo trukmė bei dozė turi įtakos šalutinio poveikio atsiradimo rizikai.</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pacing w:after="0" w:line="240" w:lineRule="auto"/>
        <w:rPr>
          <w:rFonts w:ascii="Times New Roman" w:hAnsi="Times New Roman"/>
          <w:kern w:val="1"/>
        </w:rPr>
      </w:pPr>
      <w:r w:rsidRPr="00EB4833">
        <w:rPr>
          <w:rFonts w:ascii="Times New Roman" w:hAnsi="Times New Roman"/>
          <w:kern w:val="1"/>
        </w:rPr>
        <w:t xml:space="preserve">Jei Jums yra sunkių padidėjusio jautrumo reakcijų kartu su labai staigiu kraujospūdžio kritimu arba be jo, širdies sustojimu ir bronchų spazmu </w:t>
      </w:r>
      <w:r w:rsidRPr="00EB4833">
        <w:rPr>
          <w:rFonts w:ascii="Times New Roman" w:eastAsia="Times New Roman" w:hAnsi="Times New Roman"/>
          <w:snapToGrid w:val="0"/>
          <w:lang w:eastAsia="fi-FI"/>
        </w:rPr>
        <w:t>(švokštimą sukeliantis kvėpavimo takų raumenų įsitempimas),</w:t>
      </w:r>
      <w:r w:rsidRPr="00EB4833">
        <w:rPr>
          <w:rFonts w:ascii="Times New Roman" w:hAnsi="Times New Roman"/>
        </w:rPr>
        <w:t xml:space="preserve"> nutraukite Metypred vartojimą ir </w:t>
      </w:r>
      <w:r w:rsidRPr="00EB4833">
        <w:rPr>
          <w:rFonts w:ascii="Times New Roman" w:eastAsia="Times New Roman" w:hAnsi="Times New Roman"/>
          <w:snapToGrid w:val="0"/>
          <w:lang w:eastAsia="fi-FI"/>
        </w:rPr>
        <w:t>nedelsiant</w:t>
      </w:r>
      <w:r w:rsidRPr="00EB4833">
        <w:rPr>
          <w:rFonts w:ascii="Times New Roman" w:hAnsi="Times New Roman"/>
        </w:rPr>
        <w:t xml:space="preserve"> kreipkitės į gydytoją, sveikatos centrą ar ligoninę</w:t>
      </w:r>
      <w:r w:rsidRPr="00EB4833">
        <w:rPr>
          <w:rFonts w:ascii="Times New Roman" w:hAnsi="Times New Roman"/>
          <w:kern w:val="1"/>
        </w:rPr>
        <w:t>;</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b/>
          <w:kern w:val="1"/>
        </w:rPr>
        <w:t xml:space="preserve">Dažnas šalutinis poveikis </w:t>
      </w:r>
      <w:r w:rsidRPr="00EB4833">
        <w:rPr>
          <w:rFonts w:ascii="Times New Roman" w:hAnsi="Times New Roman"/>
          <w:kern w:val="1"/>
        </w:rPr>
        <w:t>(gali pasireikšti ne daugiau kaip 1 iš 10 žmonių).</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infekcinė liga;</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vaisto vartojant ilgai, slopinama kortikotropino ir kortizolio sekrecija (vartojant ilgai);</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 xml:space="preserve">veido suapvalėjimas ir </w:t>
      </w:r>
      <w:r w:rsidRPr="00EB4833">
        <w:rPr>
          <w:rFonts w:ascii="Times New Roman" w:hAnsi="Times New Roman"/>
          <w:kern w:val="1"/>
        </w:rPr>
        <w:t xml:space="preserve">svorio </w:t>
      </w:r>
      <w:r w:rsidRPr="00EB4833">
        <w:rPr>
          <w:rFonts w:ascii="Times New Roman" w:eastAsia="Times New Roman" w:hAnsi="Times New Roman"/>
          <w:kern w:val="1"/>
        </w:rPr>
        <w:t>augimas;</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r>
      <w:r w:rsidRPr="00EB4833">
        <w:rPr>
          <w:rFonts w:ascii="Times New Roman" w:hAnsi="Times New Roman"/>
          <w:kern w:val="1"/>
        </w:rPr>
        <w:t xml:space="preserve">natrio ir </w:t>
      </w:r>
      <w:r w:rsidRPr="00EB4833">
        <w:rPr>
          <w:rFonts w:ascii="Times New Roman" w:eastAsia="Times New Roman" w:hAnsi="Times New Roman"/>
          <w:kern w:val="1"/>
        </w:rPr>
        <w:t>skysčių kaupimasis organizme;</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depresinė arba euforinė nuotaika;</w:t>
      </w:r>
    </w:p>
    <w:p w:rsidR="00C6264C" w:rsidRPr="00EB4833" w:rsidRDefault="00C6264C" w:rsidP="00C6264C">
      <w:pPr>
        <w:widowControl w:val="0"/>
        <w:tabs>
          <w:tab w:val="left" w:pos="567"/>
        </w:tabs>
        <w:suppressAutoHyphens/>
        <w:spacing w:after="0" w:line="240" w:lineRule="auto"/>
        <w:rPr>
          <w:rFonts w:ascii="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r>
      <w:r w:rsidRPr="00EB4833">
        <w:rPr>
          <w:rFonts w:ascii="Times New Roman" w:hAnsi="Times New Roman"/>
          <w:kern w:val="1"/>
        </w:rPr>
        <w:t>katarakta</w:t>
      </w:r>
      <w:r w:rsidRPr="00EB4833">
        <w:rPr>
          <w:rFonts w:ascii="Times New Roman" w:eastAsia="Times New Roman" w:hAnsi="Times New Roman"/>
          <w:kern w:val="1"/>
        </w:rPr>
        <w:t xml:space="preserve"> (jai būdingas regos pablogėjimas);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aukštas kraujospūdis;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skrandžio, dvylikapirštės žarnos arba gerklės opa (galimas prakiurimas ir kraujavimas);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galūnių paburkimas;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mėlynės (kraujosruvos), išplonėjusi ir trapi oda, aknė (spuogai);</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osteoporozė;</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raumenų silpnumas;</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pablogėjęs žaizdų gijimas;</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vidurių užkietėjimas, nuovargis, raumenų silpnumas, diegliai ir spazmai dėl kalio koncentracijos kraujyje sumažėjimo.</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Taip pat gauta pranešimų apie toliau nurodytą šalutinį poveikį.</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b/>
          <w:kern w:val="1"/>
        </w:rPr>
      </w:pP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b/>
          <w:kern w:val="1"/>
        </w:rPr>
      </w:pPr>
      <w:r w:rsidRPr="00EB4833">
        <w:rPr>
          <w:rFonts w:ascii="Times New Roman" w:eastAsia="Times New Roman" w:hAnsi="Times New Roman"/>
          <w:b/>
          <w:kern w:val="1"/>
        </w:rPr>
        <w:t>Dažnis nežinomas (negali būti apskaičiuotas pagal turimus duomenis):</w:t>
      </w:r>
    </w:p>
    <w:p w:rsidR="00C6264C" w:rsidRPr="00EB4833" w:rsidRDefault="00C6264C" w:rsidP="00C6264C">
      <w:pPr>
        <w:widowControl w:val="0"/>
        <w:numPr>
          <w:ilvl w:val="0"/>
          <w:numId w:val="5"/>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sunkus metabolizmo sutrikimas (naviko</w:t>
      </w:r>
      <w:r w:rsidRPr="00EB4833">
        <w:rPr>
          <w:rFonts w:ascii="Times New Roman" w:hAnsi="Times New Roman"/>
          <w:kern w:val="1"/>
        </w:rPr>
        <w:t xml:space="preserve"> irimo sindromas</w:t>
      </w:r>
      <w:r w:rsidRPr="00EB4833">
        <w:rPr>
          <w:rFonts w:ascii="Times New Roman" w:eastAsia="Times New Roman" w:hAnsi="Times New Roman"/>
          <w:kern w:val="1"/>
        </w:rPr>
        <w:t>), susijęs su vėžio gydymo pradžia;</w:t>
      </w:r>
    </w:p>
    <w:p w:rsidR="00C6264C" w:rsidRPr="00EB4833" w:rsidRDefault="00C6264C" w:rsidP="00C6264C">
      <w:pPr>
        <w:widowControl w:val="0"/>
        <w:numPr>
          <w:ilvl w:val="0"/>
          <w:numId w:val="5"/>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rudos, violetinės ar raudonos iškilusios dėmės odoje ar burnos gleivinėje Kapoši</w:t>
      </w:r>
      <w:r w:rsidRPr="00EB4833">
        <w:rPr>
          <w:rFonts w:ascii="Times New Roman" w:eastAsia="Times New Roman" w:hAnsi="Times New Roman"/>
          <w:color w:val="000000"/>
          <w:lang w:eastAsia="lt-LT"/>
        </w:rPr>
        <w:t xml:space="preserve"> </w:t>
      </w:r>
      <w:r w:rsidRPr="00EB4833">
        <w:rPr>
          <w:rFonts w:ascii="Times New Roman" w:eastAsia="Times New Roman" w:hAnsi="Times New Roman"/>
          <w:kern w:val="1"/>
        </w:rPr>
        <w:t>(</w:t>
      </w:r>
      <w:r w:rsidRPr="00EB4833">
        <w:rPr>
          <w:rFonts w:ascii="Times New Roman" w:eastAsia="Times New Roman" w:hAnsi="Times New Roman"/>
          <w:i/>
          <w:iCs/>
          <w:kern w:val="1"/>
        </w:rPr>
        <w:t>Kaposi</w:t>
      </w:r>
      <w:r w:rsidRPr="00EB4833">
        <w:rPr>
          <w:rFonts w:ascii="Times New Roman" w:eastAsia="Times New Roman" w:hAnsi="Times New Roman"/>
          <w:kern w:val="1"/>
        </w:rPr>
        <w:t>) sarkoma;</w:t>
      </w:r>
    </w:p>
    <w:p w:rsidR="00C6264C" w:rsidRPr="00EB4833" w:rsidRDefault="00C6264C" w:rsidP="00C6264C">
      <w:pPr>
        <w:widowControl w:val="0"/>
        <w:numPr>
          <w:ilvl w:val="0"/>
          <w:numId w:val="5"/>
        </w:numPr>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padidėjęs baltųjų kraujo kūnelių kiekis (pvz., kai yra infekcija arba alerginė reakcija);</w:t>
      </w:r>
    </w:p>
    <w:p w:rsidR="00C6264C" w:rsidRPr="00EB4833" w:rsidRDefault="00C6264C" w:rsidP="00C6264C">
      <w:pPr>
        <w:widowControl w:val="0"/>
        <w:numPr>
          <w:ilvl w:val="0"/>
          <w:numId w:val="5"/>
        </w:numPr>
        <w:tabs>
          <w:tab w:val="left" w:pos="0"/>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sunkios alerginės reakcijos;</w:t>
      </w:r>
    </w:p>
    <w:p w:rsidR="00C6264C" w:rsidRDefault="00C6264C" w:rsidP="00C6264C">
      <w:pPr>
        <w:widowControl w:val="0"/>
        <w:numPr>
          <w:ilvl w:val="0"/>
          <w:numId w:val="5"/>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padidėjęs spaudimas kaukolės viduje (kartu pasireiškiant regos nervo paburkimui), traukuliai, atminties netekimas, intelektinių savybių susilpnėjimas, svaigulys, galvos skausmas;</w:t>
      </w:r>
    </w:p>
    <w:p w:rsidR="00C6264C" w:rsidRPr="00EB4833" w:rsidRDefault="00C6264C" w:rsidP="00C6264C">
      <w:pPr>
        <w:widowControl w:val="0"/>
        <w:numPr>
          <w:ilvl w:val="0"/>
          <w:numId w:val="5"/>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nenormalus širdies ritmas, širdies nepakankamumas (jautriems pacientams), širdies raumens plyšimas po širdies smūgio, žemas kraujospūdis, arterinė embolija (staigus organo ar kūno dalies aprūpinimo krauju sutrikdymas dėl krešulio);</w:t>
      </w:r>
    </w:p>
    <w:p w:rsidR="00C6264C" w:rsidRPr="00EB4833" w:rsidRDefault="00C6264C" w:rsidP="00C6264C">
      <w:pPr>
        <w:widowControl w:val="0"/>
        <w:numPr>
          <w:ilvl w:val="0"/>
          <w:numId w:val="5"/>
        </w:numPr>
        <w:tabs>
          <w:tab w:val="left" w:pos="0"/>
        </w:tabs>
        <w:suppressAutoHyphens/>
        <w:spacing w:after="0" w:line="240" w:lineRule="auto"/>
        <w:ind w:left="567" w:hanging="567"/>
        <w:contextualSpacing/>
        <w:rPr>
          <w:rFonts w:ascii="Times New Roman" w:eastAsia="Times New Roman" w:hAnsi="Times New Roman"/>
          <w:kern w:val="1"/>
        </w:rPr>
      </w:pPr>
      <w:r w:rsidRPr="00EB4833">
        <w:rPr>
          <w:rFonts w:ascii="Times New Roman" w:eastAsia="Times New Roman" w:hAnsi="Times New Roman"/>
          <w:kern w:val="1"/>
        </w:rPr>
        <w:t>kaulų irimas dėl blogos kraujotakos, lūžiai, raumenų apimties sumažėjimas, ūminė raumenų liga, raumenų</w:t>
      </w:r>
      <w:r w:rsidRPr="00EB4833">
        <w:rPr>
          <w:rFonts w:ascii="Times New Roman" w:hAnsi="Times New Roman"/>
          <w:kern w:val="1"/>
        </w:rPr>
        <w:t xml:space="preserve"> sutrikimas</w:t>
      </w:r>
      <w:r w:rsidRPr="00EB4833">
        <w:rPr>
          <w:rFonts w:ascii="Times New Roman" w:eastAsia="Times New Roman" w:hAnsi="Times New Roman"/>
          <w:kern w:val="1"/>
        </w:rPr>
        <w:t xml:space="preserve"> (neuropatinė artropatija), sąnarių skausmas, raumenų skausmas;</w:t>
      </w:r>
    </w:p>
    <w:p w:rsidR="00C6264C" w:rsidRPr="00EB4833" w:rsidRDefault="00C6264C" w:rsidP="00C6264C">
      <w:pPr>
        <w:widowControl w:val="0"/>
        <w:tabs>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padidėjęs kepenų fermentų aktyvumas;</w:t>
      </w:r>
    </w:p>
    <w:p w:rsidR="00C6264C" w:rsidRPr="00EB4833" w:rsidRDefault="00C6264C" w:rsidP="00C6264C">
      <w:pPr>
        <w:widowControl w:val="0"/>
        <w:tabs>
          <w:tab w:val="left" w:pos="0"/>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riebalų apykaitos sutrikimas (pvz., riebalinio audinio kaupimasis tam tikrose kūno vietose);</w:t>
      </w:r>
    </w:p>
    <w:p w:rsidR="00C6264C" w:rsidRPr="00EB4833" w:rsidRDefault="00C6264C" w:rsidP="00C6264C">
      <w:pPr>
        <w:widowControl w:val="0"/>
        <w:tabs>
          <w:tab w:val="left" w:pos="0"/>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w:t>
      </w:r>
      <w:r w:rsidRPr="00EB4833">
        <w:rPr>
          <w:rFonts w:ascii="Times New Roman" w:eastAsia="Times New Roman" w:hAnsi="Times New Roman"/>
          <w:kern w:val="1"/>
        </w:rPr>
        <w:tab/>
        <w:t>padidėjęs kraujo krešėjimas;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 xml:space="preserve">akių sutrikimai (tinklainės ir akies viduje esančios membranos liga, išverstakumas, glaukoma, padidėjęs akispūdis, akies skaidriosios priekinės dalies (ragenos) ar baltosios akies dalies (odenos) išplonėjimas, </w:t>
      </w:r>
      <w:r w:rsidRPr="00EB4833">
        <w:rPr>
          <w:rFonts w:ascii="Times New Roman" w:eastAsia="SimSun" w:hAnsi="Times New Roman"/>
          <w:kern w:val="1"/>
        </w:rPr>
        <w:t>miglotas matymas</w:t>
      </w:r>
      <w:r w:rsidRPr="00EB4833">
        <w:rPr>
          <w:rFonts w:ascii="Times New Roman" w:eastAsia="Times New Roman" w:hAnsi="Times New Roman"/>
          <w:kern w:val="1"/>
        </w:rPr>
        <w:t>;</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oportunistinė infekcija (kai yra organizmo imuninės sistemos sutrikimas);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per silpna hipofizės veikla;</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steroidų vartojimo nutraukimo sindromas;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padidėjęs apetitas;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padidėjęs šlapalo kiekis kraujyje;</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padidėjęs cukraus kiekis kraujyje ir didesnis insulino (hormono) bei gliukozės kiekį kraujyje mažinančių vaistų poreikis;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patologinė būklė, kurią sukelia šarmų kaupimasis organizme arba rūgščių netekimas (tai būna susiję su mažu kalio kiekiu serume);</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per didelio rūgšties kiekio susikaupimas organizme (metabolinė acidozė);</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didesnis azoto išsiskyrimas nei suvartojimas (neigiamas azoto balansas);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nuotaikos pokyčiai, psichologinė priklausomybė, mintys apie savižudybę, psichikos sutrikimai, minčių susipainiojimas, nerimas, psichikos sutrikimas, asmenybės bruožų pokytis, nenormalus elgesys, nemiga, dirglumas;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žagsėjimas, plaučių embolija (krešuliai plaučiuose), simptomai tokie kaip staigus, aštrus skausmas krūtinėje, dusulys ir kraujo atkosėjimas;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kraujavimas iš skrandžio, žarnyno prakiurimas, kasos uždegimas; skrandį dengiančios membranos uždegimas, stemplės uždegimas (su išopėjimu arba be jo), pilvo skausmas, pilvo apimties padidėjimas, viduriavimas, virškinimo sutrikimas, pykinimas;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ūminis beskausmis odos pūslių ir poodinio audinio patinimo pasireiškimas (angioneurozinė edema), smulkios kraujosruvos po oda, kraujagyslių pažeidimas dėl smulkiųjų kraujagyslių išsiplėtimo (teleangiektazijos), strijos, įvairus odos spalvos pokytis (odos hipopigmentacija ar hiperpigmentacija), per intensyvus plaukų augimas ant veido ir kūno moterims, odos išbėrimas, odos paraudimas, niežėjimas, šiek tiek iškilę odos plotai, smarkus prakaitavimas;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nereguliarios menstruacijos;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nuovargis, bendrojo negalavimo pojūtis;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angliavandenių ir krakmolo toleravimo sutrikimas;</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padidėjęs kalcio kiekis šlapime;</w:t>
      </w:r>
    </w:p>
    <w:p w:rsidR="00C6264C" w:rsidRPr="00EB4833"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reakcijos į odos testą slopinimas;</w:t>
      </w:r>
    </w:p>
    <w:p w:rsidR="00C6264C" w:rsidRDefault="00C6264C" w:rsidP="00C6264C">
      <w:pPr>
        <w:widowControl w:val="0"/>
        <w:numPr>
          <w:ilvl w:val="0"/>
          <w:numId w:val="7"/>
        </w:numPr>
        <w:tabs>
          <w:tab w:val="left" w:pos="0"/>
          <w:tab w:val="left" w:pos="567"/>
        </w:tabs>
        <w:suppressAutoHyphens/>
        <w:spacing w:after="0" w:line="240" w:lineRule="auto"/>
        <w:ind w:left="567" w:hanging="567"/>
        <w:rPr>
          <w:rFonts w:ascii="Times New Roman" w:eastAsia="Times New Roman" w:hAnsi="Times New Roman"/>
          <w:kern w:val="1"/>
        </w:rPr>
      </w:pPr>
      <w:r w:rsidRPr="00EB4833">
        <w:rPr>
          <w:rFonts w:ascii="Times New Roman" w:eastAsia="Times New Roman" w:hAnsi="Times New Roman"/>
          <w:kern w:val="1"/>
        </w:rPr>
        <w:t>sausgyslės plyšimas (ypač Achilo sausgyslės), stuburo (slankstelių) lūžiai</w:t>
      </w:r>
      <w:r>
        <w:rPr>
          <w:rFonts w:ascii="Times New Roman" w:eastAsia="Times New Roman" w:hAnsi="Times New Roman"/>
          <w:kern w:val="1"/>
        </w:rPr>
        <w:t>.</w:t>
      </w:r>
    </w:p>
    <w:p w:rsidR="00C6264C" w:rsidRPr="00EB4833" w:rsidRDefault="00C6264C" w:rsidP="00C6264C">
      <w:pPr>
        <w:widowControl w:val="0"/>
        <w:tabs>
          <w:tab w:val="left" w:pos="0"/>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0"/>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Gauta pavienių pranešimų apie vadinamojo posteroidinio panikulito, susijusio su</w:t>
      </w:r>
      <w:r w:rsidRPr="00EB4833">
        <w:rPr>
          <w:rFonts w:ascii="Times New Roman" w:hAnsi="Times New Roman"/>
          <w:kern w:val="1"/>
        </w:rPr>
        <w:t xml:space="preserve"> gydymo </w:t>
      </w:r>
      <w:r w:rsidRPr="00EB4833">
        <w:rPr>
          <w:rFonts w:ascii="Times New Roman" w:eastAsia="Times New Roman" w:hAnsi="Times New Roman"/>
          <w:kern w:val="1"/>
        </w:rPr>
        <w:t>nutraukimu, atvejus. Remiantis praneštais atvejais, praėjus maždaug dviem savaitėms po gydymo nutraukimo atsiranda raudonų, kietų, deginimo pojūtį sukeliančių poodinių mazgelių, kurie išnyksta savaime.</w:t>
      </w:r>
    </w:p>
    <w:p w:rsidR="00C6264C" w:rsidRPr="00EB4833" w:rsidRDefault="00C6264C" w:rsidP="00C6264C">
      <w:pPr>
        <w:widowControl w:val="0"/>
        <w:tabs>
          <w:tab w:val="left" w:pos="0"/>
          <w:tab w:val="left" w:pos="567"/>
        </w:tabs>
        <w:suppressAutoHyphens/>
        <w:spacing w:after="0" w:line="240" w:lineRule="auto"/>
        <w:rPr>
          <w:rFonts w:ascii="Times New Roman" w:eastAsia="Times New Roman" w:hAnsi="Times New Roman"/>
          <w:kern w:val="1"/>
        </w:rPr>
      </w:pPr>
    </w:p>
    <w:p w:rsidR="00C6264C" w:rsidRPr="00EB4833" w:rsidRDefault="00C6264C" w:rsidP="00C6264C">
      <w:pPr>
        <w:widowControl w:val="0"/>
        <w:tabs>
          <w:tab w:val="left" w:pos="0"/>
          <w:tab w:val="left" w:pos="567"/>
        </w:tabs>
        <w:suppressAutoHyphens/>
        <w:spacing w:after="0" w:line="240" w:lineRule="auto"/>
        <w:rPr>
          <w:rFonts w:ascii="Times New Roman" w:hAnsi="Times New Roman"/>
          <w:kern w:val="1"/>
        </w:rPr>
      </w:pPr>
      <w:r w:rsidRPr="00EB4833">
        <w:rPr>
          <w:rFonts w:ascii="Times New Roman" w:eastAsia="Times New Roman" w:hAnsi="Times New Roman"/>
          <w:kern w:val="1"/>
        </w:rPr>
        <w:t xml:space="preserve">Gydymo kortikosteroidais </w:t>
      </w:r>
      <w:r w:rsidRPr="00EB4833">
        <w:rPr>
          <w:rFonts w:ascii="Times New Roman" w:hAnsi="Times New Roman"/>
          <w:kern w:val="1"/>
        </w:rPr>
        <w:t>metu</w:t>
      </w:r>
      <w:r w:rsidRPr="00EB4833">
        <w:rPr>
          <w:rFonts w:ascii="Times New Roman" w:eastAsia="Times New Roman" w:hAnsi="Times New Roman"/>
          <w:kern w:val="1"/>
        </w:rPr>
        <w:t xml:space="preserve"> gali pasireikšti ir toks šalutinis poveikis: padidėjęs polinkis į kraujo krešėjimą, padidėjęs riebalų kiekis kraujyje, padidėjusi aterosklerozės (arterijų sukietėjimo ir susiaurėjimo) rizika, vaskulitas (uždegimo sukeltas kraujagyslių paraudimas, patinimas ir skausmingumas). Gydymas kortikosteroidais gali pabloginti spermos kokybę ir sukelti menstruacijų išnykimą.</w:t>
      </w:r>
    </w:p>
    <w:p w:rsidR="00C6264C" w:rsidRPr="00EB4833" w:rsidRDefault="00C6264C" w:rsidP="00C6264C">
      <w:pPr>
        <w:widowControl w:val="0"/>
        <w:tabs>
          <w:tab w:val="left" w:pos="567"/>
        </w:tabs>
        <w:suppressAutoHyphens/>
        <w:spacing w:after="0" w:line="240" w:lineRule="auto"/>
        <w:rPr>
          <w:rFonts w:ascii="Times New Roman" w:eastAsia="Times New Roman" w:hAnsi="Times New Roman"/>
          <w:kern w:val="1"/>
        </w:rPr>
      </w:pPr>
    </w:p>
    <w:p w:rsidR="00C6264C" w:rsidRDefault="00C6264C" w:rsidP="00C6264C">
      <w:pPr>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Senyvi žmonės yra jautresni nei kiti suaugusieji tam tikriems vaisto šalutiniams poveikiams, pvz., skrandžio opai, osteoporozei (kaulų retėjimui) arba odos atrofijai.</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Ilgalaikio gydymo atveju nepageidaujamą poveikį galima silpninti vartojant mažiausią veiksmingą dozę arba dozę geriant kas antrą parą ryte.</w:t>
      </w:r>
    </w:p>
    <w:p w:rsidR="00C6264C" w:rsidRPr="00EB4833" w:rsidRDefault="00C6264C" w:rsidP="00C6264C">
      <w:pPr>
        <w:widowControl w:val="0"/>
        <w:tabs>
          <w:tab w:val="left" w:pos="567"/>
        </w:tabs>
        <w:suppressAutoHyphens/>
        <w:spacing w:after="0" w:line="240" w:lineRule="auto"/>
        <w:rPr>
          <w:rFonts w:ascii="Times New Roman" w:hAnsi="Times New Roman"/>
          <w:kern w:val="1"/>
          <w:u w:val="single"/>
        </w:rPr>
      </w:pPr>
    </w:p>
    <w:p w:rsidR="00C6264C" w:rsidRPr="00EB4833" w:rsidRDefault="00C6264C" w:rsidP="00C6264C">
      <w:pPr>
        <w:keepNext/>
        <w:keepLines/>
        <w:widowControl w:val="0"/>
        <w:tabs>
          <w:tab w:val="left" w:pos="567"/>
        </w:tabs>
        <w:suppressAutoHyphens/>
        <w:spacing w:after="0" w:line="240" w:lineRule="auto"/>
        <w:rPr>
          <w:rFonts w:ascii="Times New Roman" w:eastAsia="Times New Roman" w:hAnsi="Times New Roman"/>
          <w:b/>
          <w:kern w:val="1"/>
        </w:rPr>
      </w:pPr>
      <w:r w:rsidRPr="00EB4833">
        <w:rPr>
          <w:rFonts w:ascii="Times New Roman" w:eastAsia="Times New Roman" w:hAnsi="Times New Roman"/>
          <w:b/>
          <w:kern w:val="1"/>
        </w:rPr>
        <w:t>Kitas šalutinis poveikis, kuris gali pasireikšti vaikams</w:t>
      </w:r>
    </w:p>
    <w:p w:rsidR="00C6264C" w:rsidRPr="00EB4833" w:rsidRDefault="00C6264C" w:rsidP="00C6264C">
      <w:pPr>
        <w:keepNext/>
        <w:keepLines/>
        <w:widowControl w:val="0"/>
        <w:tabs>
          <w:tab w:val="left" w:pos="567"/>
        </w:tabs>
        <w:suppressAutoHyphens/>
        <w:spacing w:after="0" w:line="240" w:lineRule="auto"/>
        <w:rPr>
          <w:rFonts w:ascii="Times New Roman" w:eastAsia="Times New Roman" w:hAnsi="Times New Roman"/>
          <w:kern w:val="1"/>
        </w:rPr>
      </w:pPr>
      <w:r w:rsidRPr="00EB4833">
        <w:rPr>
          <w:rFonts w:ascii="Times New Roman" w:eastAsia="Times New Roman" w:hAnsi="Times New Roman"/>
          <w:kern w:val="1"/>
        </w:rPr>
        <w:t>Vaikams dažniausiai atsirandantis šalutinis poveikis yra nuotaikų kaita, nenormalus elgesys, mieguistumas ir irzlumas. Be to, šis vaistas gali vėlinti augimą.</w:t>
      </w:r>
    </w:p>
    <w:p w:rsidR="00C6264C" w:rsidRPr="00EB4833" w:rsidRDefault="00C6264C" w:rsidP="00C6264C">
      <w:pPr>
        <w:keepNext/>
        <w:keepLines/>
        <w:suppressAutoHyphens/>
        <w:spacing w:after="0" w:line="240" w:lineRule="auto"/>
        <w:ind w:left="567" w:hanging="567"/>
        <w:rPr>
          <w:rFonts w:ascii="Times New Roman" w:hAnsi="Times New Roman"/>
          <w:kern w:val="1"/>
        </w:rPr>
      </w:pPr>
    </w:p>
    <w:p w:rsidR="00C6264C" w:rsidRPr="00EB4833" w:rsidRDefault="00C6264C" w:rsidP="00C6264C">
      <w:pPr>
        <w:keepNext/>
        <w:keepLines/>
        <w:tabs>
          <w:tab w:val="left" w:pos="567"/>
        </w:tabs>
        <w:suppressAutoHyphens/>
        <w:spacing w:after="0" w:line="240" w:lineRule="auto"/>
        <w:rPr>
          <w:rFonts w:ascii="Times New Roman" w:hAnsi="Times New Roman"/>
          <w:kern w:val="1"/>
        </w:rPr>
      </w:pPr>
      <w:r w:rsidRPr="00EB4833">
        <w:rPr>
          <w:rFonts w:ascii="Times New Roman" w:hAnsi="Times New Roman"/>
          <w:b/>
          <w:kern w:val="1"/>
        </w:rPr>
        <w:t>Pranešimas apie šalutinį poveikį</w:t>
      </w:r>
    </w:p>
    <w:p w:rsidR="00C6264C" w:rsidRPr="00EB4833" w:rsidRDefault="00C6264C" w:rsidP="00C6264C">
      <w:pPr>
        <w:keepNext/>
        <w:keepLines/>
        <w:suppressAutoHyphens/>
        <w:spacing w:after="0" w:line="240" w:lineRule="auto"/>
        <w:ind w:right="-2"/>
        <w:rPr>
          <w:rFonts w:ascii="Times New Roman" w:hAnsi="Times New Roman"/>
          <w:kern w:val="1"/>
        </w:rPr>
      </w:pPr>
      <w:r w:rsidRPr="00EB4833">
        <w:rPr>
          <w:rFonts w:ascii="Times New Roman" w:hAnsi="Times New Roman"/>
          <w:kern w:val="1"/>
        </w:rPr>
        <w:t>Jeigu pasireiškė šalutinis poveikis, įskaitant šiame lapelyje nenurodytą, pasakykite gydytojui arba vaistininkui. Apie šalutinį poveikį taip pat galite pranešti Valstybinei vaistų kontrolės tarnybai prie Lietuvos Respublikos sveikatos apsaugos ministerijos</w:t>
      </w:r>
      <w:r w:rsidRPr="00EB4833">
        <w:rPr>
          <w:rFonts w:ascii="Times New Roman" w:eastAsia="Times New Roman" w:hAnsi="Times New Roman"/>
          <w:kern w:val="1"/>
        </w:rPr>
        <w:t xml:space="preserve"> nemokamu telefonu 8 800 73568 arba užpildyti interneto svetainėje www.vvkt.lt esančią formą ir pateikti ją Valstybinei vaistų kontrolės tarnybai prie Lietuvos Respublikos sveikatos apsaugos ministerijos vienu iš šių būdų: raštu (adresu</w:t>
      </w:r>
      <w:r w:rsidRPr="00EB4833">
        <w:rPr>
          <w:rFonts w:ascii="Times New Roman" w:hAnsi="Times New Roman"/>
          <w:kern w:val="1"/>
        </w:rPr>
        <w:t xml:space="preserve"> Žirmūnų g. 139A, LT</w:t>
      </w:r>
      <w:r w:rsidRPr="00EB4833">
        <w:rPr>
          <w:rFonts w:ascii="Times New Roman" w:eastAsia="Times New Roman" w:hAnsi="Times New Roman"/>
          <w:kern w:val="1"/>
        </w:rPr>
        <w:t>-</w:t>
      </w:r>
      <w:r w:rsidRPr="00EB4833">
        <w:rPr>
          <w:rFonts w:ascii="Times New Roman" w:hAnsi="Times New Roman"/>
          <w:kern w:val="1"/>
        </w:rPr>
        <w:t>09120 Vilnius</w:t>
      </w:r>
      <w:r w:rsidRPr="00EB4833">
        <w:rPr>
          <w:rFonts w:ascii="Times New Roman" w:eastAsia="Times New Roman" w:hAnsi="Times New Roman"/>
          <w:kern w:val="1"/>
        </w:rPr>
        <w:t>), nemokamu fakso numeriu</w:t>
      </w:r>
      <w:r w:rsidRPr="00EB4833">
        <w:rPr>
          <w:rFonts w:ascii="Times New Roman" w:hAnsi="Times New Roman"/>
          <w:kern w:val="1"/>
        </w:rPr>
        <w:t xml:space="preserve"> 8 800 20131</w:t>
      </w:r>
      <w:r w:rsidRPr="00EB4833">
        <w:rPr>
          <w:rFonts w:ascii="Times New Roman" w:eastAsia="Times New Roman" w:hAnsi="Times New Roman"/>
          <w:kern w:val="1"/>
        </w:rPr>
        <w:t>, el. paštu NepageidaujamaR@vvkt.lt, taip pat per Valstybinės vaistų kontrolės tarnybos prie Lietuvos Respublikos sveikatos apsaugos ministerijos interneto svetainę (adresu http://www.vvkt.lt).</w:t>
      </w:r>
      <w:r w:rsidRPr="00EB4833">
        <w:rPr>
          <w:rFonts w:ascii="Times New Roman" w:hAnsi="Times New Roman"/>
          <w:kern w:val="1"/>
        </w:rPr>
        <w:t xml:space="preserve"> Pranešdami apie šalutinį poveikį galite mums padėti gauti daugiau informacijos apie šio vaisto saugumą.</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left="567" w:right="-2" w:hanging="567"/>
        <w:rPr>
          <w:rFonts w:ascii="Times New Roman" w:hAnsi="Times New Roman"/>
          <w:kern w:val="1"/>
        </w:rPr>
      </w:pPr>
      <w:r w:rsidRPr="00EB4833">
        <w:rPr>
          <w:rFonts w:ascii="Times New Roman" w:hAnsi="Times New Roman"/>
          <w:b/>
          <w:kern w:val="1"/>
        </w:rPr>
        <w:t>5.</w:t>
      </w:r>
      <w:r w:rsidRPr="00EB4833">
        <w:rPr>
          <w:rFonts w:ascii="Times New Roman" w:hAnsi="Times New Roman"/>
          <w:b/>
          <w:kern w:val="1"/>
        </w:rPr>
        <w:tab/>
        <w:t>Kaip laikyti Metypred</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Laikyti žemesnėje kaip 25 </w:t>
      </w:r>
      <w:r w:rsidRPr="00EB4833">
        <w:rPr>
          <w:rFonts w:ascii="Times New Roman" w:hAnsi="Times New Roman"/>
          <w:kern w:val="1"/>
        </w:rPr>
        <w:sym w:font="Symbol" w:char="F0B0"/>
      </w:r>
      <w:r w:rsidRPr="00EB4833">
        <w:rPr>
          <w:rFonts w:ascii="Times New Roman" w:hAnsi="Times New Roman"/>
          <w:kern w:val="1"/>
        </w:rPr>
        <w:t>C temperatūroje.</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r w:rsidRPr="00EB4833">
        <w:rPr>
          <w:rFonts w:ascii="Times New Roman" w:hAnsi="Times New Roman"/>
          <w:kern w:val="1"/>
        </w:rPr>
        <w:t>Šį vaistą laikykite vaikams nepastebimoje ir nepasiekiamoje vietoje.</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Ant dėžutės po „Tinka iki“ nurodytam tinkamumo laikui pasibaigus, šio vaisto vartoti negalima. Vaistas tinkamas vartoti iki paskutinės nurodyto mėnesio dienos.</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r w:rsidRPr="00EB4833">
        <w:rPr>
          <w:rFonts w:ascii="Times New Roman" w:hAnsi="Times New Roman"/>
          <w:kern w:val="1"/>
        </w:rPr>
        <w:t>Vaistų negalima išmesti į kanalizaciją arba su buitinėmis atliekomis. Kaip išmesti nereikalingus vaistus, klauskite vaistininko. Šios priemonės padės apsaugoti aplinką.</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left="540" w:right="-2" w:hanging="540"/>
        <w:rPr>
          <w:rFonts w:ascii="Times New Roman" w:hAnsi="Times New Roman"/>
          <w:kern w:val="1"/>
        </w:rPr>
      </w:pPr>
      <w:r w:rsidRPr="00EB4833">
        <w:rPr>
          <w:rFonts w:ascii="Times New Roman" w:hAnsi="Times New Roman"/>
          <w:b/>
          <w:kern w:val="1"/>
        </w:rPr>
        <w:t>6.</w:t>
      </w:r>
      <w:r w:rsidRPr="00EB4833">
        <w:rPr>
          <w:rFonts w:ascii="Times New Roman" w:hAnsi="Times New Roman"/>
          <w:b/>
          <w:kern w:val="1"/>
        </w:rPr>
        <w:tab/>
        <w:t>Pakuotės turinys ir kita informacija</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u w:val="single"/>
        </w:rPr>
      </w:pPr>
      <w:r w:rsidRPr="00EB4833">
        <w:rPr>
          <w:rFonts w:ascii="Times New Roman" w:hAnsi="Times New Roman"/>
          <w:b/>
          <w:kern w:val="1"/>
        </w:rPr>
        <w:t>Metypred sudėtis</w:t>
      </w:r>
    </w:p>
    <w:p w:rsidR="00C6264C" w:rsidRPr="00EB4833" w:rsidRDefault="00C6264C" w:rsidP="00C6264C">
      <w:pPr>
        <w:widowControl w:val="0"/>
        <w:suppressAutoHyphens/>
        <w:spacing w:after="0" w:line="240" w:lineRule="auto"/>
        <w:ind w:right="-2"/>
        <w:rPr>
          <w:rFonts w:ascii="Times New Roman" w:hAnsi="Times New Roman"/>
          <w:kern w:val="1"/>
          <w:u w:val="single"/>
        </w:rPr>
      </w:pPr>
    </w:p>
    <w:p w:rsidR="00C6264C" w:rsidRPr="00EB4833" w:rsidRDefault="00C6264C" w:rsidP="00C6264C">
      <w:pPr>
        <w:widowControl w:val="0"/>
        <w:numPr>
          <w:ilvl w:val="0"/>
          <w:numId w:val="1"/>
        </w:numPr>
        <w:suppressAutoHyphens/>
        <w:spacing w:after="0" w:line="240" w:lineRule="auto"/>
        <w:ind w:left="567" w:right="-2" w:hanging="567"/>
        <w:rPr>
          <w:rFonts w:ascii="Times New Roman" w:hAnsi="Times New Roman"/>
          <w:kern w:val="1"/>
        </w:rPr>
      </w:pPr>
      <w:r w:rsidRPr="00EB4833">
        <w:rPr>
          <w:rFonts w:ascii="Times New Roman" w:hAnsi="Times New Roman"/>
          <w:kern w:val="1"/>
        </w:rPr>
        <w:t>Veiklioji medžiaga yra metilprednizolonas. Kiekvienoje tabletėje jo yra 4 mg arba 16 mg.</w:t>
      </w:r>
    </w:p>
    <w:p w:rsidR="00C6264C" w:rsidRPr="00EB4833" w:rsidRDefault="00C6264C" w:rsidP="00C6264C">
      <w:pPr>
        <w:widowControl w:val="0"/>
        <w:numPr>
          <w:ilvl w:val="0"/>
          <w:numId w:val="1"/>
        </w:numPr>
        <w:suppressAutoHyphens/>
        <w:spacing w:after="0" w:line="240" w:lineRule="auto"/>
        <w:ind w:left="567" w:right="-2" w:hanging="567"/>
        <w:rPr>
          <w:rFonts w:ascii="Times New Roman" w:hAnsi="Times New Roman"/>
          <w:kern w:val="1"/>
        </w:rPr>
      </w:pPr>
      <w:r w:rsidRPr="00EB4833">
        <w:rPr>
          <w:rFonts w:ascii="Times New Roman" w:hAnsi="Times New Roman"/>
          <w:kern w:val="1"/>
        </w:rPr>
        <w:t>Pagalbinės medžiagos yra laktozė monohidratas, kukurūzų krakmolas, želatina, magnio stearatas ir talkas.</w:t>
      </w:r>
    </w:p>
    <w:p w:rsidR="00C6264C" w:rsidRPr="00EB4833" w:rsidRDefault="00C6264C" w:rsidP="00C6264C">
      <w:pPr>
        <w:widowControl w:val="0"/>
        <w:suppressAutoHyphens/>
        <w:spacing w:after="0" w:line="240" w:lineRule="auto"/>
        <w:ind w:right="-2" w:firstLine="567"/>
        <w:rPr>
          <w:rFonts w:ascii="Times New Roman" w:hAnsi="Times New Roman"/>
          <w:kern w:val="1"/>
        </w:rPr>
      </w:pPr>
    </w:p>
    <w:p w:rsidR="00C6264C" w:rsidRDefault="00C6264C" w:rsidP="00C6264C">
      <w:pPr>
        <w:keepNext/>
        <w:keepLines/>
        <w:suppressAutoHyphens/>
        <w:spacing w:after="0" w:line="240" w:lineRule="auto"/>
        <w:ind w:right="-2"/>
        <w:rPr>
          <w:rFonts w:ascii="Times New Roman" w:hAnsi="Times New Roman"/>
          <w:b/>
          <w:kern w:val="1"/>
        </w:rPr>
      </w:pPr>
      <w:r w:rsidRPr="00EB4833">
        <w:rPr>
          <w:rFonts w:ascii="Times New Roman" w:hAnsi="Times New Roman"/>
          <w:b/>
          <w:kern w:val="1"/>
        </w:rPr>
        <w:t>Metypred išvaizda ir kiekis pakuotėje</w:t>
      </w:r>
    </w:p>
    <w:p w:rsidR="00C6264C" w:rsidRPr="00EB4833" w:rsidRDefault="00C6264C" w:rsidP="00C6264C">
      <w:pPr>
        <w:keepNext/>
        <w:keepLines/>
        <w:suppressAutoHyphens/>
        <w:spacing w:after="0" w:line="240" w:lineRule="auto"/>
        <w:ind w:right="-2"/>
        <w:rPr>
          <w:rFonts w:ascii="Times New Roman" w:hAnsi="Times New Roman"/>
          <w:kern w:val="1"/>
          <w:u w:val="single"/>
        </w:rPr>
      </w:pPr>
    </w:p>
    <w:p w:rsidR="00C6264C"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Tabletė yra balta arba beveik balta, apvali, lygiu paviršiumi, nuožulniais kraštais, su vagele. 4 mg tabletė yra 7 mm skersmens, 16 mg tabletė yra 9 mm skersmens. Ant 16 mg tabletės įspaustas simbolis „ORN 346“.</w:t>
      </w:r>
    </w:p>
    <w:p w:rsidR="00C6264C" w:rsidRPr="00EB4833" w:rsidRDefault="00C6264C" w:rsidP="00C6264C">
      <w:pPr>
        <w:widowControl w:val="0"/>
        <w:suppressAutoHyphens/>
        <w:spacing w:after="0" w:line="240" w:lineRule="auto"/>
        <w:rPr>
          <w:rFonts w:ascii="Times New Roman" w:hAnsi="Times New Roman"/>
          <w:b/>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Pakuotės dydžiai: 10, 20, 30, 50 arba 100 tablečių.</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kern w:val="1"/>
        </w:rPr>
        <w:t>Gali būti tiekiamos ne visų dydžių pakuotės.</w:t>
      </w:r>
    </w:p>
    <w:p w:rsidR="00C6264C" w:rsidRPr="00EB4833" w:rsidRDefault="00C6264C" w:rsidP="00C6264C">
      <w:pPr>
        <w:widowControl w:val="0"/>
        <w:suppressAutoHyphens/>
        <w:spacing w:after="0" w:line="240" w:lineRule="auto"/>
        <w:ind w:left="567" w:hanging="567"/>
        <w:rPr>
          <w:rFonts w:ascii="Times New Roman" w:hAnsi="Times New Roman"/>
          <w:kern w:val="1"/>
        </w:rPr>
      </w:pPr>
    </w:p>
    <w:p w:rsidR="00C6264C" w:rsidRPr="00EB4833" w:rsidRDefault="00C6264C" w:rsidP="00C6264C">
      <w:pPr>
        <w:widowControl w:val="0"/>
        <w:suppressAutoHyphens/>
        <w:spacing w:after="0" w:line="240" w:lineRule="auto"/>
        <w:ind w:left="567" w:hanging="567"/>
        <w:rPr>
          <w:rFonts w:ascii="Times New Roman" w:hAnsi="Times New Roman"/>
          <w:kern w:val="1"/>
        </w:rPr>
      </w:pPr>
      <w:r w:rsidRPr="00EB4833">
        <w:rPr>
          <w:rFonts w:ascii="Times New Roman" w:hAnsi="Times New Roman"/>
          <w:b/>
          <w:bCs/>
          <w:kern w:val="1"/>
        </w:rPr>
        <w:t>Registruotojas</w:t>
      </w:r>
      <w:r w:rsidRPr="00EB4833">
        <w:rPr>
          <w:rFonts w:ascii="Times New Roman" w:hAnsi="Times New Roman"/>
          <w:b/>
          <w:kern w:val="1"/>
        </w:rPr>
        <w:t xml:space="preserve"> ir gamintojas</w:t>
      </w:r>
    </w:p>
    <w:p w:rsidR="00C6264C" w:rsidRPr="00EB4833" w:rsidRDefault="00C6264C" w:rsidP="00C6264C">
      <w:pPr>
        <w:widowControl w:val="0"/>
        <w:suppressAutoHyphens/>
        <w:spacing w:after="0" w:line="240" w:lineRule="auto"/>
        <w:ind w:right="-2"/>
        <w:rPr>
          <w:rFonts w:ascii="Times New Roman" w:hAnsi="Times New Roman"/>
          <w:kern w:val="1"/>
        </w:rPr>
      </w:pPr>
    </w:p>
    <w:p w:rsidR="00C6264C" w:rsidRPr="00EB4833" w:rsidRDefault="00C6264C" w:rsidP="00C6264C">
      <w:pPr>
        <w:widowControl w:val="0"/>
        <w:suppressAutoHyphens/>
        <w:spacing w:after="0" w:line="240" w:lineRule="auto"/>
        <w:ind w:right="-2"/>
        <w:rPr>
          <w:rFonts w:ascii="Times New Roman" w:hAnsi="Times New Roman"/>
          <w:kern w:val="1"/>
        </w:rPr>
      </w:pPr>
      <w:r w:rsidRPr="00EB4833">
        <w:rPr>
          <w:rFonts w:ascii="Times New Roman" w:hAnsi="Times New Roman"/>
          <w:i/>
          <w:kern w:val="1"/>
        </w:rPr>
        <w:t>Registruotojas</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 xml:space="preserve">Orion Corporation, </w:t>
      </w:r>
      <w:r w:rsidRPr="00EB4833">
        <w:rPr>
          <w:rFonts w:ascii="Times New Roman" w:hAnsi="Times New Roman"/>
        </w:rPr>
        <w:t>Orion Pharma</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Orionintie 1</w:t>
      </w: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FI-02200 Espoo</w:t>
      </w:r>
    </w:p>
    <w:p w:rsidR="00C6264C" w:rsidRPr="00EB4833" w:rsidRDefault="00C6264C" w:rsidP="00C6264C">
      <w:pPr>
        <w:widowControl w:val="0"/>
        <w:suppressAutoHyphens/>
        <w:spacing w:after="0" w:line="240" w:lineRule="auto"/>
        <w:rPr>
          <w:rFonts w:ascii="Times New Roman" w:hAnsi="Times New Roman"/>
          <w:b/>
          <w:kern w:val="1"/>
        </w:rPr>
      </w:pPr>
      <w:r w:rsidRPr="00EB4833">
        <w:rPr>
          <w:rFonts w:ascii="Times New Roman" w:hAnsi="Times New Roman"/>
          <w:kern w:val="1"/>
        </w:rPr>
        <w:t>Suomija</w:t>
      </w:r>
    </w:p>
    <w:p w:rsidR="00C6264C" w:rsidRPr="00EB4833" w:rsidRDefault="00C6264C" w:rsidP="00C6264C">
      <w:pPr>
        <w:widowControl w:val="0"/>
        <w:suppressAutoHyphens/>
        <w:spacing w:after="0" w:line="240" w:lineRule="auto"/>
        <w:ind w:right="-2"/>
        <w:rPr>
          <w:rFonts w:ascii="Times New Roman" w:hAnsi="Times New Roman"/>
          <w:b/>
          <w:kern w:val="1"/>
        </w:rPr>
      </w:pPr>
    </w:p>
    <w:p w:rsidR="00C6264C" w:rsidRPr="00EB4833" w:rsidRDefault="00C6264C" w:rsidP="00C6264C">
      <w:pPr>
        <w:keepNext/>
        <w:keepLines/>
        <w:suppressAutoHyphens/>
        <w:spacing w:after="0" w:line="240" w:lineRule="auto"/>
        <w:ind w:right="-2"/>
        <w:rPr>
          <w:rFonts w:ascii="Times New Roman" w:hAnsi="Times New Roman"/>
          <w:kern w:val="1"/>
        </w:rPr>
      </w:pPr>
      <w:r w:rsidRPr="00EB4833">
        <w:rPr>
          <w:rFonts w:ascii="Times New Roman" w:hAnsi="Times New Roman"/>
          <w:i/>
          <w:kern w:val="1"/>
        </w:rPr>
        <w:t>Gamintojas</w:t>
      </w: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Orion Corporation, Orion Pharma</w:t>
      </w: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Orionintie 1</w:t>
      </w: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FI-02200 Espoo</w:t>
      </w:r>
    </w:p>
    <w:p w:rsidR="00C6264C" w:rsidRPr="00EB4833" w:rsidRDefault="00C6264C" w:rsidP="00C6264C">
      <w:pPr>
        <w:keepNext/>
        <w:keepLines/>
        <w:suppressAutoHyphens/>
        <w:spacing w:after="0" w:line="240" w:lineRule="auto"/>
        <w:rPr>
          <w:rFonts w:ascii="Times New Roman" w:hAnsi="Times New Roman"/>
          <w:b/>
          <w:kern w:val="1"/>
        </w:rPr>
      </w:pPr>
      <w:r w:rsidRPr="00EB4833">
        <w:rPr>
          <w:rFonts w:ascii="Times New Roman" w:hAnsi="Times New Roman"/>
          <w:kern w:val="1"/>
        </w:rPr>
        <w:t>Suomija</w:t>
      </w:r>
    </w:p>
    <w:p w:rsidR="00C6264C" w:rsidRPr="00EB4833" w:rsidRDefault="00C6264C" w:rsidP="00C6264C">
      <w:pPr>
        <w:widowControl w:val="0"/>
        <w:suppressAutoHyphens/>
        <w:spacing w:after="0" w:line="240" w:lineRule="auto"/>
        <w:ind w:right="-2"/>
        <w:rPr>
          <w:rFonts w:ascii="Times New Roman" w:hAnsi="Times New Roman"/>
          <w:b/>
          <w:kern w:val="1"/>
        </w:rPr>
      </w:pPr>
    </w:p>
    <w:p w:rsidR="00C6264C"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arba</w:t>
      </w:r>
    </w:p>
    <w:p w:rsidR="00C6264C" w:rsidRPr="00EB4833" w:rsidRDefault="00C6264C" w:rsidP="00C6264C">
      <w:pPr>
        <w:keepNext/>
        <w:keepLines/>
        <w:suppressAutoHyphens/>
        <w:spacing w:after="0" w:line="240" w:lineRule="auto"/>
        <w:rPr>
          <w:rFonts w:ascii="Times New Roman" w:hAnsi="Times New Roman"/>
          <w:kern w:val="1"/>
        </w:rPr>
      </w:pPr>
    </w:p>
    <w:p w:rsidR="00C6264C" w:rsidRPr="00EB4833" w:rsidRDefault="00C6264C" w:rsidP="00C6264C">
      <w:pPr>
        <w:autoSpaceDE w:val="0"/>
        <w:autoSpaceDN w:val="0"/>
        <w:adjustRightInd w:val="0"/>
        <w:spacing w:after="0" w:line="240" w:lineRule="auto"/>
        <w:rPr>
          <w:rFonts w:ascii="Times New Roman" w:hAnsi="Times New Roman"/>
        </w:rPr>
      </w:pPr>
      <w:r w:rsidRPr="00EB4833">
        <w:rPr>
          <w:rFonts w:ascii="Times New Roman" w:hAnsi="Times New Roman"/>
        </w:rPr>
        <w:t>Orion Corporation Orion Pharma</w:t>
      </w:r>
    </w:p>
    <w:p w:rsidR="00C6264C" w:rsidRPr="00EB4833" w:rsidRDefault="00C6264C" w:rsidP="00C6264C">
      <w:pPr>
        <w:autoSpaceDE w:val="0"/>
        <w:autoSpaceDN w:val="0"/>
        <w:adjustRightInd w:val="0"/>
        <w:spacing w:after="0" w:line="240" w:lineRule="auto"/>
        <w:rPr>
          <w:rFonts w:ascii="Times New Roman" w:hAnsi="Times New Roman"/>
        </w:rPr>
      </w:pPr>
      <w:r w:rsidRPr="00EB4833">
        <w:rPr>
          <w:rFonts w:ascii="Times New Roman" w:hAnsi="Times New Roman"/>
        </w:rPr>
        <w:t>Joensuunkatu 7</w:t>
      </w:r>
    </w:p>
    <w:p w:rsidR="00C6264C" w:rsidRPr="00EB4833" w:rsidRDefault="00C6264C" w:rsidP="00C6264C">
      <w:pPr>
        <w:autoSpaceDE w:val="0"/>
        <w:autoSpaceDN w:val="0"/>
        <w:adjustRightInd w:val="0"/>
        <w:spacing w:after="0" w:line="240" w:lineRule="auto"/>
        <w:rPr>
          <w:rFonts w:ascii="Times New Roman" w:hAnsi="Times New Roman"/>
        </w:rPr>
      </w:pPr>
      <w:r w:rsidRPr="00EB4833">
        <w:rPr>
          <w:rFonts w:ascii="Times New Roman" w:hAnsi="Times New Roman"/>
        </w:rPr>
        <w:t>FI-24100 Salo</w:t>
      </w:r>
    </w:p>
    <w:p w:rsidR="00C6264C" w:rsidRPr="00EB4833" w:rsidRDefault="00C6264C" w:rsidP="00C6264C">
      <w:pPr>
        <w:keepNext/>
        <w:keepLines/>
        <w:suppressAutoHyphens/>
        <w:spacing w:after="0" w:line="240" w:lineRule="auto"/>
        <w:rPr>
          <w:rFonts w:ascii="Times New Roman" w:hAnsi="Times New Roman"/>
          <w:kern w:val="1"/>
        </w:rPr>
      </w:pPr>
      <w:r w:rsidRPr="00EB4833">
        <w:rPr>
          <w:rFonts w:ascii="Times New Roman" w:hAnsi="Times New Roman"/>
          <w:kern w:val="1"/>
        </w:rPr>
        <w:t>Suomija</w:t>
      </w:r>
    </w:p>
    <w:p w:rsidR="00C6264C" w:rsidRPr="00EB4833" w:rsidRDefault="00C6264C" w:rsidP="00C6264C">
      <w:pPr>
        <w:widowControl w:val="0"/>
        <w:suppressAutoHyphens/>
        <w:spacing w:after="0" w:line="240" w:lineRule="auto"/>
        <w:ind w:right="-2"/>
        <w:rPr>
          <w:rFonts w:ascii="Times New Roman" w:hAnsi="Times New Roman"/>
          <w:b/>
          <w:kern w:val="1"/>
        </w:rPr>
      </w:pPr>
    </w:p>
    <w:p w:rsidR="00C6264C" w:rsidRPr="00EB4833" w:rsidRDefault="00C6264C" w:rsidP="00C6264C">
      <w:pPr>
        <w:widowControl w:val="0"/>
        <w:suppressAutoHyphens/>
        <w:spacing w:after="0" w:line="240" w:lineRule="auto"/>
        <w:rPr>
          <w:rFonts w:ascii="Times New Roman" w:hAnsi="Times New Roman"/>
          <w:kern w:val="1"/>
        </w:rPr>
      </w:pPr>
      <w:r w:rsidRPr="00EB4833">
        <w:rPr>
          <w:rFonts w:ascii="Times New Roman" w:hAnsi="Times New Roman"/>
          <w:kern w:val="1"/>
        </w:rPr>
        <w:t>Jeigu apie šį vaistą norite sužinoti daugiau, kreipkitės į vietinį registruotojo atstovą.</w:t>
      </w:r>
    </w:p>
    <w:p w:rsidR="00C6264C" w:rsidRPr="00EB4833" w:rsidRDefault="00C6264C" w:rsidP="00C6264C">
      <w:pPr>
        <w:widowControl w:val="0"/>
        <w:suppressAutoHyphens/>
        <w:spacing w:after="0" w:line="240" w:lineRule="auto"/>
        <w:rPr>
          <w:rFonts w:ascii="Times New Roman" w:hAnsi="Times New Roman"/>
          <w:kern w:val="1"/>
        </w:rPr>
      </w:pPr>
    </w:p>
    <w:tbl>
      <w:tblPr>
        <w:tblW w:w="0" w:type="auto"/>
        <w:tblInd w:w="-34" w:type="dxa"/>
        <w:tblLayout w:type="fixed"/>
        <w:tblLook w:val="0000" w:firstRow="0" w:lastRow="0" w:firstColumn="0" w:lastColumn="0" w:noHBand="0" w:noVBand="0"/>
      </w:tblPr>
      <w:tblGrid>
        <w:gridCol w:w="4678"/>
      </w:tblGrid>
      <w:tr w:rsidR="00C6264C" w:rsidRPr="00E073DF" w:rsidTr="00FE5CAD">
        <w:tc>
          <w:tcPr>
            <w:tcW w:w="4678" w:type="dxa"/>
            <w:shd w:val="clear" w:color="auto" w:fill="auto"/>
          </w:tcPr>
          <w:p w:rsidR="00C6264C" w:rsidRPr="00EB4833" w:rsidRDefault="00C6264C" w:rsidP="00FE5CAD">
            <w:pPr>
              <w:widowControl w:val="0"/>
              <w:suppressAutoHyphens/>
              <w:spacing w:after="0" w:line="240" w:lineRule="auto"/>
              <w:rPr>
                <w:rFonts w:ascii="Times New Roman" w:hAnsi="Times New Roman"/>
                <w:kern w:val="1"/>
              </w:rPr>
            </w:pPr>
            <w:r w:rsidRPr="00EB4833">
              <w:rPr>
                <w:rFonts w:ascii="Times New Roman" w:hAnsi="Times New Roman"/>
                <w:kern w:val="1"/>
              </w:rPr>
              <w:t>UAB Orion Pharma</w:t>
            </w:r>
          </w:p>
          <w:p w:rsidR="00C6264C" w:rsidRPr="00EB4833" w:rsidRDefault="00C6264C" w:rsidP="00FE5CAD">
            <w:pPr>
              <w:widowControl w:val="0"/>
              <w:suppressAutoHyphens/>
              <w:spacing w:after="0" w:line="240" w:lineRule="auto"/>
              <w:ind w:right="-449"/>
              <w:rPr>
                <w:rFonts w:ascii="Times New Roman" w:hAnsi="Times New Roman"/>
                <w:kern w:val="1"/>
              </w:rPr>
            </w:pPr>
            <w:r w:rsidRPr="00EB4833">
              <w:rPr>
                <w:rFonts w:ascii="Times New Roman" w:hAnsi="Times New Roman"/>
                <w:kern w:val="1"/>
              </w:rPr>
              <w:t>Kubiliaus 6</w:t>
            </w:r>
          </w:p>
          <w:p w:rsidR="00C6264C" w:rsidRPr="00EB4833" w:rsidRDefault="00C6264C" w:rsidP="00FE5CAD">
            <w:pPr>
              <w:widowControl w:val="0"/>
              <w:suppressAutoHyphens/>
              <w:spacing w:after="0" w:line="240" w:lineRule="auto"/>
              <w:ind w:right="-449"/>
              <w:rPr>
                <w:rFonts w:ascii="Times New Roman" w:hAnsi="Times New Roman"/>
                <w:kern w:val="1"/>
              </w:rPr>
            </w:pPr>
            <w:r w:rsidRPr="00EB4833">
              <w:rPr>
                <w:rFonts w:ascii="Times New Roman" w:hAnsi="Times New Roman"/>
                <w:kern w:val="1"/>
              </w:rPr>
              <w:t>LT- 08234 Vilnius</w:t>
            </w:r>
          </w:p>
          <w:p w:rsidR="00C6264C" w:rsidRPr="00EB4833" w:rsidRDefault="00C6264C" w:rsidP="00FE5CAD">
            <w:pPr>
              <w:widowControl w:val="0"/>
              <w:tabs>
                <w:tab w:val="left" w:pos="-720"/>
              </w:tabs>
              <w:suppressAutoHyphens/>
              <w:spacing w:after="0" w:line="240" w:lineRule="auto"/>
              <w:rPr>
                <w:rFonts w:ascii="Times New Roman" w:hAnsi="Times New Roman"/>
                <w:kern w:val="1"/>
              </w:rPr>
            </w:pPr>
            <w:r w:rsidRPr="00EB4833">
              <w:rPr>
                <w:rFonts w:ascii="Times New Roman" w:hAnsi="Times New Roman"/>
                <w:kern w:val="1"/>
              </w:rPr>
              <w:t>Tel. +370 5 276 94 99</w:t>
            </w:r>
          </w:p>
        </w:tc>
      </w:tr>
    </w:tbl>
    <w:p w:rsidR="00C6264C" w:rsidRPr="00EB4833" w:rsidRDefault="00C6264C" w:rsidP="00C6264C">
      <w:pPr>
        <w:widowControl w:val="0"/>
        <w:suppressAutoHyphens/>
        <w:spacing w:after="0" w:line="240" w:lineRule="auto"/>
        <w:ind w:right="-2"/>
        <w:rPr>
          <w:rFonts w:ascii="Times New Roman" w:hAnsi="Times New Roman"/>
          <w:b/>
          <w:kern w:val="1"/>
        </w:rPr>
      </w:pPr>
    </w:p>
    <w:p w:rsidR="00C6264C" w:rsidRPr="00EB4833" w:rsidRDefault="00C6264C" w:rsidP="00C6264C">
      <w:pPr>
        <w:keepNext/>
        <w:keepLines/>
        <w:suppressAutoHyphens/>
        <w:spacing w:after="0" w:line="240" w:lineRule="auto"/>
        <w:ind w:right="-2"/>
        <w:rPr>
          <w:rFonts w:ascii="Times New Roman" w:hAnsi="Times New Roman"/>
          <w:kern w:val="1"/>
        </w:rPr>
      </w:pPr>
      <w:r w:rsidRPr="00EB4833">
        <w:rPr>
          <w:rFonts w:ascii="Times New Roman" w:eastAsia="Times New Roman" w:hAnsi="Times New Roman"/>
          <w:b/>
          <w:bCs/>
          <w:kern w:val="1"/>
        </w:rPr>
        <w:t>Šis vaistas</w:t>
      </w:r>
      <w:r w:rsidRPr="00EB4833">
        <w:rPr>
          <w:rFonts w:ascii="Times New Roman" w:hAnsi="Times New Roman"/>
          <w:b/>
          <w:kern w:val="1"/>
        </w:rPr>
        <w:t xml:space="preserve"> EEE valstybėse narėse </w:t>
      </w:r>
      <w:r w:rsidRPr="00EB4833">
        <w:rPr>
          <w:rFonts w:ascii="Times New Roman" w:eastAsia="Times New Roman" w:hAnsi="Times New Roman"/>
          <w:b/>
          <w:bCs/>
          <w:kern w:val="1"/>
        </w:rPr>
        <w:t>registruotas</w:t>
      </w:r>
      <w:r w:rsidRPr="00EB4833">
        <w:rPr>
          <w:rFonts w:ascii="Times New Roman" w:hAnsi="Times New Roman"/>
          <w:b/>
          <w:kern w:val="1"/>
        </w:rPr>
        <w:t xml:space="preserve"> tokiais pavadinimais:</w:t>
      </w:r>
    </w:p>
    <w:tbl>
      <w:tblPr>
        <w:tblW w:w="0" w:type="auto"/>
        <w:tblLayout w:type="fixed"/>
        <w:tblLook w:val="0000" w:firstRow="0" w:lastRow="0" w:firstColumn="0" w:lastColumn="0" w:noHBand="0" w:noVBand="0"/>
      </w:tblPr>
      <w:tblGrid>
        <w:gridCol w:w="4611"/>
        <w:gridCol w:w="4610"/>
      </w:tblGrid>
      <w:tr w:rsidR="00C6264C" w:rsidRPr="00E073DF" w:rsidTr="00FE5CAD">
        <w:tc>
          <w:tcPr>
            <w:tcW w:w="4611" w:type="dxa"/>
            <w:shd w:val="clear" w:color="auto" w:fill="auto"/>
          </w:tcPr>
          <w:p w:rsidR="00C6264C" w:rsidRPr="00EB4833" w:rsidRDefault="00C6264C" w:rsidP="00FE5CAD">
            <w:pPr>
              <w:keepNext/>
              <w:keepLines/>
              <w:suppressAutoHyphens/>
              <w:spacing w:after="0" w:line="240" w:lineRule="auto"/>
              <w:rPr>
                <w:rFonts w:ascii="Times New Roman" w:hAnsi="Times New Roman"/>
                <w:kern w:val="1"/>
              </w:rPr>
            </w:pPr>
            <w:r w:rsidRPr="00EB4833">
              <w:rPr>
                <w:rFonts w:ascii="Times New Roman" w:hAnsi="Times New Roman"/>
                <w:kern w:val="1"/>
              </w:rPr>
              <w:t>Čekija, Lietuva, Slovakija</w:t>
            </w:r>
          </w:p>
          <w:p w:rsidR="00C6264C" w:rsidRPr="00EB4833" w:rsidRDefault="00C6264C" w:rsidP="00FE5CAD">
            <w:pPr>
              <w:keepNext/>
              <w:keepLines/>
              <w:suppressAutoHyphens/>
              <w:spacing w:after="0" w:line="240" w:lineRule="auto"/>
              <w:rPr>
                <w:rFonts w:ascii="Times New Roman" w:hAnsi="Times New Roman"/>
                <w:kern w:val="1"/>
              </w:rPr>
            </w:pPr>
            <w:r w:rsidRPr="00EB4833">
              <w:rPr>
                <w:rFonts w:ascii="Times New Roman" w:hAnsi="Times New Roman"/>
                <w:kern w:val="1"/>
              </w:rPr>
              <w:t>Danija, Norvegija, Švedija</w:t>
            </w:r>
          </w:p>
        </w:tc>
        <w:tc>
          <w:tcPr>
            <w:tcW w:w="4610" w:type="dxa"/>
            <w:shd w:val="clear" w:color="auto" w:fill="auto"/>
          </w:tcPr>
          <w:p w:rsidR="00C6264C" w:rsidRPr="00EB4833" w:rsidRDefault="00C6264C" w:rsidP="00FE5CAD">
            <w:pPr>
              <w:keepNext/>
              <w:keepLines/>
              <w:suppressAutoHyphens/>
              <w:spacing w:after="0" w:line="240" w:lineRule="auto"/>
              <w:rPr>
                <w:rFonts w:ascii="Times New Roman" w:hAnsi="Times New Roman"/>
                <w:kern w:val="1"/>
              </w:rPr>
            </w:pPr>
            <w:r w:rsidRPr="00EB4833">
              <w:rPr>
                <w:rFonts w:ascii="Times New Roman" w:hAnsi="Times New Roman"/>
                <w:kern w:val="1"/>
              </w:rPr>
              <w:t xml:space="preserve">Metypred 4 mg, </w:t>
            </w:r>
            <w:r w:rsidRPr="00EB4833">
              <w:rPr>
                <w:rFonts w:ascii="Times New Roman" w:hAnsi="Times New Roman"/>
                <w:kern w:val="1"/>
                <w:shd w:val="clear" w:color="auto" w:fill="C0C0C0"/>
              </w:rPr>
              <w:t>16 mg</w:t>
            </w:r>
          </w:p>
          <w:p w:rsidR="00C6264C" w:rsidRPr="00EB4833" w:rsidRDefault="00C6264C" w:rsidP="00FE5CAD">
            <w:pPr>
              <w:keepNext/>
              <w:keepLines/>
              <w:suppressAutoHyphens/>
              <w:spacing w:after="0" w:line="240" w:lineRule="auto"/>
              <w:rPr>
                <w:rFonts w:ascii="Times New Roman" w:hAnsi="Times New Roman"/>
                <w:kern w:val="1"/>
              </w:rPr>
            </w:pPr>
            <w:r w:rsidRPr="00EB4833">
              <w:rPr>
                <w:rFonts w:ascii="Times New Roman" w:hAnsi="Times New Roman"/>
                <w:kern w:val="1"/>
              </w:rPr>
              <w:t xml:space="preserve">Methylprednisolone Orion 4 mg, </w:t>
            </w:r>
            <w:r w:rsidRPr="00EB4833">
              <w:rPr>
                <w:rFonts w:ascii="Times New Roman" w:hAnsi="Times New Roman"/>
                <w:kern w:val="1"/>
                <w:shd w:val="clear" w:color="auto" w:fill="C0C0C0"/>
              </w:rPr>
              <w:t>16 mg</w:t>
            </w:r>
          </w:p>
        </w:tc>
      </w:tr>
    </w:tbl>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b/>
          <w:kern w:val="1"/>
        </w:rPr>
      </w:pPr>
      <w:r w:rsidRPr="00EB4833">
        <w:rPr>
          <w:rFonts w:ascii="Times New Roman" w:hAnsi="Times New Roman"/>
          <w:b/>
          <w:kern w:val="1"/>
        </w:rPr>
        <w:t xml:space="preserve">Šis pakuotės lapelis paskutinį kartą peržiūrėtas </w:t>
      </w:r>
      <w:r>
        <w:rPr>
          <w:rFonts w:ascii="Times New Roman" w:hAnsi="Times New Roman"/>
          <w:b/>
          <w:kern w:val="1"/>
        </w:rPr>
        <w:t>2019-01-21.</w:t>
      </w:r>
    </w:p>
    <w:p w:rsidR="00C6264C" w:rsidRPr="00EB4833" w:rsidRDefault="00C6264C" w:rsidP="00C6264C">
      <w:pPr>
        <w:widowControl w:val="0"/>
        <w:suppressAutoHyphens/>
        <w:spacing w:after="0" w:line="240" w:lineRule="auto"/>
        <w:rPr>
          <w:rFonts w:ascii="Times New Roman" w:hAnsi="Times New Roman"/>
          <w:kern w:val="1"/>
        </w:rPr>
      </w:pPr>
    </w:p>
    <w:p w:rsidR="00C6264C" w:rsidRPr="00EB4833" w:rsidRDefault="00C6264C" w:rsidP="00C6264C">
      <w:pPr>
        <w:widowControl w:val="0"/>
        <w:suppressAutoHyphens/>
        <w:spacing w:after="0" w:line="240" w:lineRule="auto"/>
        <w:rPr>
          <w:rFonts w:ascii="Times New Roman" w:hAnsi="Times New Roman"/>
          <w:color w:val="0000FF"/>
          <w:kern w:val="1"/>
          <w:u w:val="single"/>
        </w:rPr>
      </w:pPr>
      <w:r w:rsidRPr="00EB4833">
        <w:rPr>
          <w:rFonts w:ascii="Times New Roman" w:hAnsi="Times New Roman"/>
          <w:kern w:val="1"/>
        </w:rPr>
        <w:t xml:space="preserve">Išsami informacija apie šį vaistą pateikiama Valstybinės vaistų kontrolės tarnybos prie Lietuvos Respublikos sveikatos apsaugos ministerijos tinklalapyje </w:t>
      </w:r>
      <w:hyperlink r:id="rId5" w:history="1">
        <w:r w:rsidRPr="00EB4833">
          <w:rPr>
            <w:rFonts w:ascii="Times New Roman" w:hAnsi="Times New Roman"/>
            <w:color w:val="0000FF"/>
            <w:kern w:val="1"/>
            <w:u w:val="single"/>
          </w:rPr>
          <w:t>http://www.vvkt.lt</w:t>
        </w:r>
      </w:hyperlink>
    </w:p>
    <w:p w:rsidR="003F4E25" w:rsidRDefault="003F4E25"/>
    <w:sectPr w:rsidR="003F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ourier New"/>
    <w:charset w:val="00"/>
    <w:family w:val="auto"/>
    <w:pitch w:val="variable"/>
    <w:sig w:usb0="00000003"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2"/>
    <w:lvl w:ilvl="0">
      <w:start w:val="1"/>
      <w:numFmt w:val="bullet"/>
      <w:lvlText w:val="-"/>
      <w:lvlJc w:val="left"/>
      <w:pPr>
        <w:tabs>
          <w:tab w:val="num" w:pos="0"/>
        </w:tabs>
        <w:ind w:left="36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Num4"/>
    <w:lvl w:ilvl="0">
      <w:start w:val="1"/>
      <w:numFmt w:val="bullet"/>
      <w:lvlText w:val="-"/>
      <w:lvlJc w:val="left"/>
      <w:pPr>
        <w:tabs>
          <w:tab w:val="num" w:pos="360"/>
        </w:tabs>
        <w:ind w:left="36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97379E7"/>
    <w:multiLevelType w:val="hybridMultilevel"/>
    <w:tmpl w:val="EF703DD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653B0"/>
    <w:multiLevelType w:val="hybridMultilevel"/>
    <w:tmpl w:val="F15CFB30"/>
    <w:lvl w:ilvl="0" w:tplc="CEBC8142">
      <w:start w:val="5"/>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895E40"/>
    <w:multiLevelType w:val="hybridMultilevel"/>
    <w:tmpl w:val="0A08238A"/>
    <w:lvl w:ilvl="0" w:tplc="A412CA06">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8281471"/>
    <w:multiLevelType w:val="hybridMultilevel"/>
    <w:tmpl w:val="C1E26F0C"/>
    <w:lvl w:ilvl="0" w:tplc="DA76753E">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D63CBA"/>
    <w:multiLevelType w:val="hybridMultilevel"/>
    <w:tmpl w:val="FB269D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EB65DA2"/>
    <w:multiLevelType w:val="hybridMultilevel"/>
    <w:tmpl w:val="9CDAD7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0014458">
    <w:abstractNumId w:val="0"/>
  </w:num>
  <w:num w:numId="2" w16cid:durableId="105732780">
    <w:abstractNumId w:val="1"/>
  </w:num>
  <w:num w:numId="3" w16cid:durableId="898903690">
    <w:abstractNumId w:val="2"/>
  </w:num>
  <w:num w:numId="4" w16cid:durableId="251091215">
    <w:abstractNumId w:val="5"/>
  </w:num>
  <w:num w:numId="5" w16cid:durableId="1575313086">
    <w:abstractNumId w:val="6"/>
  </w:num>
  <w:num w:numId="6" w16cid:durableId="1681737633">
    <w:abstractNumId w:val="8"/>
  </w:num>
  <w:num w:numId="7" w16cid:durableId="502938020">
    <w:abstractNumId w:val="3"/>
  </w:num>
  <w:num w:numId="8" w16cid:durableId="10885319">
    <w:abstractNumId w:val="7"/>
  </w:num>
  <w:num w:numId="9" w16cid:durableId="1347175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4C"/>
    <w:rsid w:val="003F4E25"/>
    <w:rsid w:val="00C62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8BF19-3B5D-4C6E-B76F-08E4048C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3713</Words>
  <Characters>21169</Characters>
  <Application>Microsoft Office Word</Application>
  <DocSecurity>0</DocSecurity>
  <Lines>176</Lines>
  <Paragraphs>49</Paragraphs>
  <ScaleCrop>false</ScaleCrop>
  <Company/>
  <LinksUpToDate>false</LinksUpToDate>
  <CharactersWithSpaces>24833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2022-06-15T07:25:00Z</dcterms:created>
  <dcterms:modified xsi:type="dcterms:W3CDTF">2022-06-15T07:25:00Z</dcterms:modified>
</cp:coreProperties>
</file>