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F29" w:rsidRPr="0035418B" w:rsidRDefault="00CD0F29" w:rsidP="00CD0F29">
      <w:pPr>
        <w:widowControl w:val="0"/>
        <w:tabs>
          <w:tab w:val="left" w:pos="567"/>
        </w:tabs>
        <w:spacing w:after="0" w:line="240" w:lineRule="auto"/>
        <w:ind w:left="567" w:hanging="567"/>
        <w:jc w:val="center"/>
        <w:outlineLvl w:val="0"/>
        <w:rPr>
          <w:rFonts w:ascii="Times New Roman" w:eastAsia="Times New Roman" w:hAnsi="Times New Roman"/>
          <w:b/>
          <w:caps/>
          <w:lang w:eastAsia="sl-SI"/>
        </w:rPr>
      </w:pPr>
      <w:bookmarkStart w:id="0" w:name="_Toc129243263"/>
      <w:bookmarkStart w:id="1" w:name="_Toc129243138"/>
      <w:r w:rsidRPr="0035418B">
        <w:rPr>
          <w:rFonts w:ascii="Times New Roman" w:eastAsia="Times New Roman" w:hAnsi="Times New Roman"/>
          <w:b/>
          <w:caps/>
          <w:lang w:eastAsia="sl-SI"/>
        </w:rPr>
        <w:t>P</w:t>
      </w:r>
      <w:r w:rsidRPr="0035418B">
        <w:rPr>
          <w:rFonts w:ascii="Times New Roman" w:eastAsia="Times New Roman" w:hAnsi="Times New Roman"/>
          <w:b/>
          <w:lang w:eastAsia="sl-SI"/>
        </w:rPr>
        <w:t>akuotės lapelis</w:t>
      </w:r>
      <w:r w:rsidRPr="0035418B">
        <w:rPr>
          <w:rFonts w:ascii="Times New Roman" w:eastAsia="Times New Roman" w:hAnsi="Times New Roman"/>
          <w:b/>
          <w:caps/>
          <w:lang w:eastAsia="sl-SI"/>
        </w:rPr>
        <w:t xml:space="preserve">: </w:t>
      </w:r>
      <w:r w:rsidRPr="0035418B">
        <w:rPr>
          <w:rFonts w:ascii="Times New Roman" w:eastAsia="Times New Roman" w:hAnsi="Times New Roman"/>
          <w:b/>
          <w:lang w:eastAsia="sl-SI"/>
        </w:rPr>
        <w:t xml:space="preserve">informacija </w:t>
      </w:r>
      <w:bookmarkEnd w:id="0"/>
      <w:bookmarkEnd w:id="1"/>
      <w:r w:rsidRPr="0035418B">
        <w:rPr>
          <w:rFonts w:ascii="Times New Roman" w:eastAsia="Times New Roman" w:hAnsi="Times New Roman"/>
          <w:b/>
          <w:lang w:eastAsia="sl-SI"/>
        </w:rPr>
        <w:t>pacientui</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jc w:val="center"/>
        <w:rPr>
          <w:rFonts w:ascii="Times New Roman" w:eastAsia="Times New Roman" w:hAnsi="Times New Roman"/>
          <w:b/>
          <w:bCs/>
          <w:lang w:eastAsia="sl-SI"/>
        </w:rPr>
      </w:pPr>
      <w:r w:rsidRPr="0035418B">
        <w:rPr>
          <w:rFonts w:ascii="Times New Roman" w:eastAsia="Times New Roman" w:hAnsi="Times New Roman"/>
          <w:b/>
          <w:bCs/>
          <w:lang w:eastAsia="sl-SI"/>
        </w:rPr>
        <w:t>Escadra 20 mg skrandyje neirios kietosios kapsulės</w:t>
      </w:r>
    </w:p>
    <w:p w:rsidR="00CD0F29" w:rsidRPr="0035418B" w:rsidRDefault="00CD0F29" w:rsidP="00CD0F29">
      <w:pPr>
        <w:widowControl w:val="0"/>
        <w:spacing w:after="0" w:line="240" w:lineRule="auto"/>
        <w:jc w:val="center"/>
        <w:rPr>
          <w:rFonts w:ascii="Times New Roman" w:eastAsia="Times New Roman" w:hAnsi="Times New Roman"/>
          <w:b/>
          <w:bCs/>
          <w:lang w:eastAsia="sl-SI"/>
        </w:rPr>
      </w:pPr>
      <w:r w:rsidRPr="0035418B">
        <w:rPr>
          <w:rFonts w:ascii="Times New Roman" w:eastAsia="Times New Roman" w:hAnsi="Times New Roman"/>
          <w:b/>
          <w:bCs/>
          <w:lang w:eastAsia="sl-SI"/>
        </w:rPr>
        <w:t>Escadra 40 mg skrandyje neirios kietosios kapsulės</w:t>
      </w:r>
    </w:p>
    <w:p w:rsidR="00CD0F29" w:rsidRPr="0035418B" w:rsidRDefault="00CD0F29" w:rsidP="00CD0F29">
      <w:pPr>
        <w:widowControl w:val="0"/>
        <w:numPr>
          <w:ilvl w:val="12"/>
          <w:numId w:val="0"/>
        </w:numPr>
        <w:spacing w:after="0" w:line="240" w:lineRule="auto"/>
        <w:jc w:val="center"/>
        <w:rPr>
          <w:rFonts w:ascii="Times New Roman" w:eastAsia="Times New Roman" w:hAnsi="Times New Roman"/>
          <w:lang w:eastAsia="sl-SI"/>
        </w:rPr>
      </w:pPr>
      <w:r>
        <w:rPr>
          <w:rFonts w:ascii="Times New Roman" w:eastAsia="Times New Roman" w:hAnsi="Times New Roman"/>
          <w:lang w:eastAsia="sl-SI"/>
        </w:rPr>
        <w:t>e</w:t>
      </w:r>
      <w:r w:rsidRPr="0035418B">
        <w:rPr>
          <w:rFonts w:ascii="Times New Roman" w:eastAsia="Times New Roman" w:hAnsi="Times New Roman"/>
          <w:lang w:eastAsia="sl-SI"/>
        </w:rPr>
        <w:t>zomeprazolas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Atidžiai perskaitykite visą šį lapelį, prieš pradėdami vartoti vaistą, nes jame pateikiama Jums svarbi informacija.</w:t>
      </w:r>
    </w:p>
    <w:p w:rsidR="00CD0F29" w:rsidRPr="0035418B" w:rsidRDefault="00CD0F29" w:rsidP="00CD0F29">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Neišmeskite šio lapelio, nes vėl gali prireikti jį perskaityti.</w:t>
      </w:r>
    </w:p>
    <w:p w:rsidR="00CD0F29" w:rsidRPr="0035418B" w:rsidRDefault="00CD0F29" w:rsidP="00CD0F29">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Jeigu kiltų daugiau klausimų, kreipkitės į gydytoją arba vaistininką.</w:t>
      </w:r>
    </w:p>
    <w:p w:rsidR="00CD0F29" w:rsidRPr="0035418B" w:rsidRDefault="00CD0F29" w:rsidP="00CD0F29">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Šis vaistas skirtas tik Jums, todėl kitiems žmonėms jo duoti negalima. Vaistas gali jiems pakenkti (net tiems, kurių ligos požymiai yra tokie patys kaip Jūsų).</w:t>
      </w:r>
    </w:p>
    <w:p w:rsidR="00CD0F29" w:rsidRPr="0035418B" w:rsidRDefault="00CD0F29" w:rsidP="00CD0F29">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Jeigu pasireiškė šalutinis poveikis (net jeigu jis šiame lapelyje nenurodytas), kreipkitės į gydytoją, vaistininką arba slaugytoją.</w:t>
      </w:r>
      <w:r w:rsidRPr="0035418B">
        <w:rPr>
          <w:rFonts w:ascii="Times New Roman" w:eastAsia="Times New Roman" w:hAnsi="Times New Roman"/>
          <w:lang w:val="sl-SI" w:eastAsia="sl-SI"/>
        </w:rPr>
        <w:t xml:space="preserve"> Žr. 4 skyrių.</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val="sl-SI" w:eastAsia="sl-SI"/>
        </w:rPr>
        <w:t>Apie</w:t>
      </w:r>
      <w:r w:rsidRPr="0035418B">
        <w:rPr>
          <w:rFonts w:ascii="Times New Roman" w:eastAsia="Times New Roman" w:hAnsi="Times New Roman"/>
          <w:b/>
          <w:lang w:eastAsia="sl-SI"/>
        </w:rPr>
        <w:t xml:space="preserve"> ką rašoma šiame lapelyje?</w:t>
      </w:r>
    </w:p>
    <w:p w:rsidR="00CD0F29" w:rsidRPr="0035418B" w:rsidRDefault="00CD0F29" w:rsidP="00CD0F29">
      <w:pPr>
        <w:widowControl w:val="0"/>
        <w:spacing w:after="0" w:line="240" w:lineRule="auto"/>
        <w:rPr>
          <w:rFonts w:ascii="Times New Roman" w:eastAsia="Times New Roman" w:hAnsi="Times New Roman"/>
          <w:b/>
          <w:lang w:eastAsia="sl-SI"/>
        </w:rPr>
      </w:pP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1.</w:t>
      </w:r>
      <w:r w:rsidRPr="0035418B">
        <w:rPr>
          <w:rFonts w:ascii="Times New Roman" w:eastAsia="Times New Roman" w:hAnsi="Times New Roman"/>
          <w:lang w:eastAsia="sl-SI"/>
        </w:rPr>
        <w:tab/>
        <w:t>Kas yra Escadra ir kam jis vartojamas</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2.</w:t>
      </w:r>
      <w:r w:rsidRPr="0035418B">
        <w:rPr>
          <w:rFonts w:ascii="Times New Roman" w:eastAsia="Times New Roman" w:hAnsi="Times New Roman"/>
          <w:lang w:eastAsia="sl-SI"/>
        </w:rPr>
        <w:tab/>
        <w:t>Kas žinotina prieš vartojant Escadra</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3.</w:t>
      </w:r>
      <w:r w:rsidRPr="0035418B">
        <w:rPr>
          <w:rFonts w:ascii="Times New Roman" w:eastAsia="Times New Roman" w:hAnsi="Times New Roman"/>
          <w:lang w:eastAsia="sl-SI"/>
        </w:rPr>
        <w:tab/>
        <w:t>Kaip vartoti Escadra</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4.</w:t>
      </w:r>
      <w:r w:rsidRPr="0035418B">
        <w:rPr>
          <w:rFonts w:ascii="Times New Roman" w:eastAsia="Times New Roman" w:hAnsi="Times New Roman"/>
          <w:lang w:eastAsia="sl-SI"/>
        </w:rPr>
        <w:tab/>
        <w:t>Galimas šalutinis poveikis</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5.</w:t>
      </w:r>
      <w:r w:rsidRPr="0035418B">
        <w:rPr>
          <w:rFonts w:ascii="Times New Roman" w:eastAsia="Times New Roman" w:hAnsi="Times New Roman"/>
          <w:lang w:eastAsia="sl-SI"/>
        </w:rPr>
        <w:tab/>
        <w:t>Kaip laikyti Escadra</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6.</w:t>
      </w:r>
      <w:r w:rsidRPr="0035418B">
        <w:rPr>
          <w:rFonts w:ascii="Times New Roman" w:eastAsia="Times New Roman" w:hAnsi="Times New Roman"/>
          <w:lang w:eastAsia="sl-SI"/>
        </w:rPr>
        <w:tab/>
        <w:t>Pakuotės turinys ir kita informacija</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outlineLvl w:val="1"/>
        <w:rPr>
          <w:rFonts w:ascii="Times New Roman" w:eastAsia="Times New Roman" w:hAnsi="Times New Roman"/>
          <w:b/>
          <w:lang w:eastAsia="sl-SI"/>
        </w:rPr>
      </w:pPr>
      <w:bookmarkStart w:id="2" w:name="_Toc129243264"/>
      <w:bookmarkStart w:id="3" w:name="_Toc129243139"/>
      <w:r w:rsidRPr="0035418B">
        <w:rPr>
          <w:rFonts w:ascii="Times New Roman" w:eastAsia="Times New Roman" w:hAnsi="Times New Roman"/>
          <w:b/>
          <w:lang w:eastAsia="sl-SI"/>
        </w:rPr>
        <w:t>1.</w:t>
      </w:r>
      <w:r w:rsidRPr="0035418B">
        <w:rPr>
          <w:rFonts w:ascii="Times New Roman" w:eastAsia="Times New Roman" w:hAnsi="Times New Roman"/>
          <w:b/>
          <w:lang w:eastAsia="sl-SI"/>
        </w:rPr>
        <w:tab/>
        <w:t>Kas yra Escadra ir kam jis vartojamas</w:t>
      </w:r>
      <w:bookmarkEnd w:id="2"/>
      <w:bookmarkEnd w:id="3"/>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numPr>
          <w:ilvl w:val="12"/>
          <w:numId w:val="0"/>
        </w:numPr>
        <w:tabs>
          <w:tab w:val="left" w:pos="8505"/>
        </w:tabs>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Escadra sudėtyje yra vaisto, vadinamo ezomeprazolu. Jis priklauso vaistų, vadinamų protonų siurblio inhibitoriais, grupei. Tokie vaistai veikia mažindami skrandyje susidarančios rūgšties kiekį.</w:t>
      </w:r>
    </w:p>
    <w:p w:rsidR="00CD0F29" w:rsidRPr="0035418B" w:rsidRDefault="00CD0F29" w:rsidP="00CD0F29">
      <w:pPr>
        <w:widowControl w:val="0"/>
        <w:numPr>
          <w:ilvl w:val="12"/>
          <w:numId w:val="0"/>
        </w:numPr>
        <w:tabs>
          <w:tab w:val="left" w:pos="8505"/>
        </w:tabs>
        <w:spacing w:after="0" w:line="240" w:lineRule="auto"/>
        <w:ind w:right="-2"/>
        <w:rPr>
          <w:rFonts w:ascii="Times New Roman" w:eastAsia="Times New Roman" w:hAnsi="Times New Roman"/>
          <w:lang w:eastAsia="sl-SI"/>
        </w:rPr>
      </w:pPr>
    </w:p>
    <w:p w:rsidR="00CD0F29" w:rsidRPr="0035418B" w:rsidRDefault="00CD0F29" w:rsidP="00CD0F29">
      <w:pPr>
        <w:widowControl w:val="0"/>
        <w:numPr>
          <w:ilvl w:val="12"/>
          <w:numId w:val="0"/>
        </w:numPr>
        <w:tabs>
          <w:tab w:val="left" w:pos="8505"/>
        </w:tabs>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Escadra vartojama toliau išvardytais atvejais.</w:t>
      </w:r>
    </w:p>
    <w:p w:rsidR="00CD0F29" w:rsidRPr="0035418B" w:rsidRDefault="00CD0F29" w:rsidP="00CD0F29">
      <w:pPr>
        <w:widowControl w:val="0"/>
        <w:numPr>
          <w:ilvl w:val="12"/>
          <w:numId w:val="0"/>
        </w:numPr>
        <w:tabs>
          <w:tab w:val="left" w:pos="8505"/>
        </w:tabs>
        <w:spacing w:after="0" w:line="240" w:lineRule="auto"/>
        <w:ind w:right="-2"/>
        <w:rPr>
          <w:rFonts w:ascii="Times New Roman" w:eastAsia="Times New Roman" w:hAnsi="Times New Roman"/>
          <w:lang w:eastAsia="sl-SI"/>
        </w:rPr>
      </w:pPr>
    </w:p>
    <w:p w:rsidR="00CD0F29" w:rsidRPr="0035418B" w:rsidRDefault="00CD0F29" w:rsidP="00CD0F29">
      <w:pPr>
        <w:widowControl w:val="0"/>
        <w:numPr>
          <w:ilvl w:val="12"/>
          <w:numId w:val="0"/>
        </w:numPr>
        <w:tabs>
          <w:tab w:val="left" w:pos="8505"/>
        </w:tabs>
        <w:spacing w:after="0" w:line="240" w:lineRule="auto"/>
        <w:ind w:right="-2"/>
        <w:rPr>
          <w:rFonts w:ascii="Times New Roman" w:eastAsia="Times New Roman" w:hAnsi="Times New Roman"/>
          <w:lang w:val="sl-SI" w:eastAsia="sl-SI"/>
        </w:rPr>
      </w:pPr>
      <w:r w:rsidRPr="0035418B">
        <w:rPr>
          <w:rFonts w:ascii="Times New Roman" w:eastAsia="Times New Roman" w:hAnsi="Times New Roman"/>
          <w:lang w:eastAsia="sl-SI"/>
        </w:rPr>
        <w:t>Suaugusieji</w:t>
      </w:r>
    </w:p>
    <w:p w:rsidR="00CD0F29" w:rsidRPr="0035418B" w:rsidRDefault="00CD0F29" w:rsidP="00CD0F29">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Gastroezofaginio refliukso liga (GERL). Tai yra būklė, kai skrandyje esanti rūgštis patenka į stemplę (vamzdelį, jungiantį ryklę su skrandžiu). Šios ligos simptomai yra skausmas, uždegimas ir rėmuo. Šio vaisto vartojama:</w:t>
      </w:r>
    </w:p>
    <w:p w:rsidR="00CD0F29" w:rsidRPr="0035418B" w:rsidRDefault="00CD0F29" w:rsidP="00CD0F29">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pažeistai ar uždegimo apimtai stemplei užgydyti;</w:t>
      </w:r>
    </w:p>
    <w:p w:rsidR="00CD0F29" w:rsidRPr="0035418B" w:rsidRDefault="00CD0F29" w:rsidP="00CD0F29">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minėtų būklių pasikartojimo profilaktikai;</w:t>
      </w:r>
    </w:p>
    <w:p w:rsidR="00CD0F29" w:rsidRPr="0035418B" w:rsidRDefault="00CD0F29" w:rsidP="00CD0F29">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nemaloniems simptomams, dažnai būnantiems esant šioms būklėms, lengvinti.</w:t>
      </w:r>
    </w:p>
    <w:p w:rsidR="00CD0F29" w:rsidRPr="0035418B" w:rsidRDefault="00CD0F29" w:rsidP="00CD0F29">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 xml:space="preserve">Skrandžio ar viršutinės žarnyno dalies (dvylikapirštės žarnos) opa, infekuota bakterija, vadinama </w:t>
      </w:r>
      <w:r w:rsidRPr="0035418B">
        <w:rPr>
          <w:rFonts w:ascii="Times New Roman" w:eastAsia="Times New Roman" w:hAnsi="Times New Roman"/>
          <w:i/>
          <w:lang w:eastAsia="sl-SI"/>
        </w:rPr>
        <w:t>Helicobacter pylori</w:t>
      </w:r>
      <w:r w:rsidRPr="0035418B">
        <w:rPr>
          <w:rFonts w:ascii="Times New Roman" w:eastAsia="Times New Roman" w:hAnsi="Times New Roman"/>
          <w:lang w:eastAsia="sl-SI"/>
        </w:rPr>
        <w:t>. Jei Jums yra tokia būklė, gydytojas Jums gali skirti vartoti šio vaisto kartu su tam tikrais antibiotikais:</w:t>
      </w:r>
    </w:p>
    <w:p w:rsidR="00CD0F29" w:rsidRPr="0035418B" w:rsidRDefault="00CD0F29" w:rsidP="00CD0F29">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 xml:space="preserve">dvylikapirštės žarnos opai, susijusiai su </w:t>
      </w:r>
      <w:r w:rsidRPr="0035418B">
        <w:rPr>
          <w:rFonts w:ascii="Times New Roman" w:eastAsia="Times New Roman" w:hAnsi="Times New Roman"/>
          <w:i/>
          <w:iCs/>
          <w:lang w:eastAsia="sl-SI"/>
        </w:rPr>
        <w:t>Helicobacter pylori</w:t>
      </w:r>
      <w:r w:rsidRPr="0035418B">
        <w:rPr>
          <w:rFonts w:ascii="Times New Roman" w:eastAsia="Times New Roman" w:hAnsi="Times New Roman"/>
          <w:lang w:eastAsia="sl-SI"/>
        </w:rPr>
        <w:t xml:space="preserve"> bakterija, užgydyti;</w:t>
      </w:r>
    </w:p>
    <w:p w:rsidR="00CD0F29" w:rsidRPr="0035418B" w:rsidRDefault="00CD0F29" w:rsidP="00CD0F29">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su šia bakterija susijusios opos atsinaujinimo profilaktikai.</w:t>
      </w:r>
    </w:p>
    <w:p w:rsidR="00CD0F29" w:rsidRPr="0035418B" w:rsidRDefault="00CD0F29" w:rsidP="00CD0F29">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Skrandžio opa, kurią sukelia vaistai, vadinami NVNU (nesteroidiniai vaistai nuo uždegimo). Šio vaisto vartojama:</w:t>
      </w:r>
    </w:p>
    <w:p w:rsidR="00CD0F29" w:rsidRPr="0035418B" w:rsidRDefault="00CD0F29" w:rsidP="00CD0F29">
      <w:pPr>
        <w:widowControl w:val="0"/>
        <w:tabs>
          <w:tab w:val="left" w:pos="1134"/>
        </w:tabs>
        <w:autoSpaceDE w:val="0"/>
        <w:autoSpaceDN w:val="0"/>
        <w:adjustRightInd w:val="0"/>
        <w:spacing w:after="0" w:line="240" w:lineRule="auto"/>
        <w:ind w:left="1080" w:hanging="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skrandžio opai, sukeltai NVNU, užgydyti.</w:t>
      </w:r>
    </w:p>
    <w:p w:rsidR="00CD0F29" w:rsidRPr="0035418B" w:rsidRDefault="00CD0F29" w:rsidP="00CD0F29">
      <w:pPr>
        <w:widowControl w:val="0"/>
        <w:tabs>
          <w:tab w:val="left" w:pos="1080"/>
        </w:tabs>
        <w:autoSpaceDE w:val="0"/>
        <w:autoSpaceDN w:val="0"/>
        <w:adjustRightInd w:val="0"/>
        <w:spacing w:after="0" w:line="240" w:lineRule="auto"/>
        <w:ind w:left="1080" w:hanging="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skrandžio ir dvylikapirštės žarnos atsiradimo profilaktikai, jei vartojama NVNU.</w:t>
      </w:r>
    </w:p>
    <w:p w:rsidR="00CD0F29" w:rsidRPr="0035418B" w:rsidRDefault="00CD0F29" w:rsidP="00CD0F29">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Tęstinis gydymas po į veną vartojamu ezomeprazolu pradėtos opos kraujavimo atsinaujinimo profilaktikos.</w:t>
      </w:r>
    </w:p>
    <w:p w:rsidR="00CD0F29" w:rsidRPr="0035418B" w:rsidRDefault="00CD0F29" w:rsidP="00CD0F29">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Skrandyje dėl kasos naviko yra per daug rūgšties (</w:t>
      </w:r>
      <w:r>
        <w:rPr>
          <w:rFonts w:ascii="Times New Roman" w:eastAsia="Times New Roman" w:hAnsi="Times New Roman"/>
          <w:lang w:eastAsia="sl-SI"/>
        </w:rPr>
        <w:t>Z</w:t>
      </w:r>
      <w:r w:rsidRPr="0035418B">
        <w:rPr>
          <w:rFonts w:ascii="Times New Roman" w:eastAsia="Times New Roman" w:hAnsi="Times New Roman"/>
          <w:lang w:eastAsia="sl-SI"/>
        </w:rPr>
        <w:t>olingerio-Elisono (</w:t>
      </w:r>
      <w:r w:rsidRPr="0035418B">
        <w:rPr>
          <w:rFonts w:ascii="Times New Roman" w:eastAsia="Times New Roman" w:hAnsi="Times New Roman"/>
          <w:i/>
          <w:lang w:eastAsia="sl-SI"/>
        </w:rPr>
        <w:t>Zollinger-Ellison</w:t>
      </w:r>
      <w:r w:rsidRPr="0035418B">
        <w:rPr>
          <w:rFonts w:ascii="Times New Roman" w:eastAsia="Times New Roman" w:hAnsi="Times New Roman"/>
          <w:lang w:eastAsia="sl-SI"/>
        </w:rPr>
        <w:t>) sindromas).</w:t>
      </w:r>
    </w:p>
    <w:p w:rsidR="00CD0F29" w:rsidRPr="0035418B" w:rsidRDefault="00CD0F29" w:rsidP="00CD0F29">
      <w:pPr>
        <w:widowControl w:val="0"/>
        <w:tabs>
          <w:tab w:val="left" w:pos="8505"/>
        </w:tabs>
        <w:spacing w:after="0" w:line="240" w:lineRule="auto"/>
        <w:ind w:right="-2"/>
        <w:rPr>
          <w:rFonts w:ascii="Times New Roman" w:eastAsia="Times New Roman" w:hAnsi="Times New Roman"/>
          <w:lang w:eastAsia="sl-SI"/>
        </w:rPr>
      </w:pP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12 metų bei vyresni paaugliai</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gastroezofaginio refliukso ligai (GERL) gydyti. Tai sutrikimas, kurio metu rūgštis iš skrandžio atpilama į stemplę (burną su skrandžiu jungiantis vamzdelis) ir sukelia skausmą, uždegimą ir rėmenį;</w:t>
      </w: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 xml:space="preserve">skrandžio ar viršutinės žarnyno (žarnų) dalies opoms, susijusioms su </w:t>
      </w:r>
      <w:r w:rsidRPr="0035418B">
        <w:rPr>
          <w:rFonts w:ascii="Times New Roman" w:eastAsia="Times New Roman" w:hAnsi="Times New Roman"/>
          <w:i/>
          <w:lang w:eastAsia="sl-SI"/>
        </w:rPr>
        <w:t>Helicobacter pylori</w:t>
      </w:r>
      <w:r w:rsidRPr="0035418B">
        <w:rPr>
          <w:rFonts w:ascii="Times New Roman" w:eastAsia="Times New Roman" w:hAnsi="Times New Roman"/>
          <w:lang w:eastAsia="sl-SI"/>
        </w:rPr>
        <w:t xml:space="preserve"> bakterijų infekcija, gydyti. Jeigu Jums tokia būklė yra, Jūsų gydytojas gali išrašyti ir antibiotikų, kad sunaikintų šią infekciją ir leistų opai užgyti.</w:t>
      </w:r>
    </w:p>
    <w:p w:rsidR="00CD0F29" w:rsidRPr="0035418B" w:rsidRDefault="00CD0F29" w:rsidP="00CD0F29">
      <w:pPr>
        <w:widowControl w:val="0"/>
        <w:tabs>
          <w:tab w:val="left" w:pos="8505"/>
        </w:tabs>
        <w:spacing w:after="0" w:line="240" w:lineRule="auto"/>
        <w:ind w:right="-2"/>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outlineLvl w:val="1"/>
        <w:rPr>
          <w:rFonts w:ascii="Times New Roman" w:eastAsia="Times New Roman" w:hAnsi="Times New Roman"/>
          <w:b/>
          <w:lang w:eastAsia="sl-SI"/>
        </w:rPr>
      </w:pPr>
      <w:bookmarkStart w:id="4" w:name="_Toc129243265"/>
      <w:bookmarkStart w:id="5" w:name="_Toc129243140"/>
      <w:r w:rsidRPr="0035418B">
        <w:rPr>
          <w:rFonts w:ascii="Times New Roman" w:eastAsia="Times New Roman" w:hAnsi="Times New Roman"/>
          <w:b/>
          <w:lang w:eastAsia="sl-SI"/>
        </w:rPr>
        <w:t>2.</w:t>
      </w:r>
      <w:r w:rsidRPr="0035418B">
        <w:rPr>
          <w:rFonts w:ascii="Times New Roman" w:eastAsia="Times New Roman" w:hAnsi="Times New Roman"/>
          <w:b/>
          <w:lang w:eastAsia="sl-SI"/>
        </w:rPr>
        <w:tab/>
        <w:t xml:space="preserve">Kas žinotina prieš vartojant </w:t>
      </w:r>
      <w:bookmarkEnd w:id="4"/>
      <w:bookmarkEnd w:id="5"/>
      <w:r w:rsidRPr="0035418B">
        <w:rPr>
          <w:rFonts w:ascii="Times New Roman" w:eastAsia="Times New Roman" w:hAnsi="Times New Roman"/>
          <w:b/>
          <w:lang w:eastAsia="sl-SI"/>
        </w:rPr>
        <w:t>Escadra</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 xml:space="preserve">Escadra vartoti </w:t>
      </w:r>
      <w:r>
        <w:rPr>
          <w:rFonts w:ascii="Times New Roman" w:eastAsia="Times New Roman" w:hAnsi="Times New Roman"/>
          <w:b/>
          <w:lang w:eastAsia="sl-SI"/>
        </w:rPr>
        <w:t>draudžiama</w:t>
      </w:r>
      <w:r w:rsidRPr="0035418B">
        <w:rPr>
          <w:rFonts w:ascii="Times New Roman" w:eastAsia="Times New Roman" w:hAnsi="Times New Roman"/>
          <w:b/>
          <w:lang w:eastAsia="sl-SI"/>
        </w:rPr>
        <w:t>:</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jeigu yra </w:t>
      </w:r>
      <w:r w:rsidRPr="0035418B">
        <w:rPr>
          <w:rFonts w:ascii="Times New Roman" w:eastAsia="Times New Roman" w:hAnsi="Times New Roman"/>
          <w:bCs/>
          <w:lang w:eastAsia="sl-SI"/>
        </w:rPr>
        <w:t>alergija</w:t>
      </w:r>
      <w:r w:rsidRPr="0035418B">
        <w:rPr>
          <w:rFonts w:ascii="Times New Roman" w:eastAsia="Times New Roman" w:hAnsi="Times New Roman"/>
          <w:lang w:eastAsia="sl-SI"/>
        </w:rPr>
        <w:t xml:space="preserve"> (padidėjęs jautrumas) ezomeprazolui arba bet kuriai pagalbinei Escadra medžiagai (jos išvardytos 6 skyriuje);</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jeigu yra </w:t>
      </w:r>
      <w:r w:rsidRPr="0035418B">
        <w:rPr>
          <w:rFonts w:ascii="Times New Roman" w:eastAsia="Times New Roman" w:hAnsi="Times New Roman"/>
          <w:bCs/>
          <w:lang w:eastAsia="sl-SI"/>
        </w:rPr>
        <w:t>alergija kitiems protonų siurblio inhibitoriams (pvz., pantoprazolui, lansoprazolui, rabeprazolui, omeprazolui)</w:t>
      </w:r>
      <w:r w:rsidRPr="0035418B">
        <w:rPr>
          <w:rFonts w:ascii="Times New Roman" w:eastAsia="Times New Roman" w:hAnsi="Times New Roman"/>
          <w:lang w:eastAsia="sl-SI"/>
        </w:rPr>
        <w:t>;</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vartojate vaisto, kurio sudėtyje yra nelfinaviro (vaisto nuo ŽIV).</w:t>
      </w:r>
    </w:p>
    <w:p w:rsidR="00CD0F29" w:rsidRPr="0035418B" w:rsidRDefault="00CD0F29" w:rsidP="00CD0F29">
      <w:pPr>
        <w:widowControl w:val="0"/>
        <w:spacing w:after="0" w:line="240" w:lineRule="auto"/>
        <w:rPr>
          <w:rFonts w:ascii="Times New Roman" w:eastAsia="Times New Roman" w:hAnsi="Times New Roman"/>
          <w:bCs/>
          <w:lang w:eastAsia="sl-SI"/>
        </w:rPr>
      </w:pPr>
      <w:r w:rsidRPr="0035418B">
        <w:rPr>
          <w:rFonts w:ascii="Times New Roman" w:eastAsia="Times New Roman" w:hAnsi="Times New Roman"/>
          <w:bCs/>
          <w:lang w:eastAsia="sl-SI"/>
        </w:rPr>
        <w:t>Jei kuri nors iš paminėtų būklių Jums tinka, Escadra nevartokite. Jei abejojate, prieš Escadra vartojimą pasitarkite su gydytoju arba vaistininku.</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Įspėjimai ir atsargumo priemonės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Cs/>
          <w:lang w:eastAsia="sl-SI"/>
        </w:rPr>
        <w:t>Prieš Escadra vartojimą pasitarkite su gydytoju arba vaistininku, jeigu:</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sergate sunkia kepenų liga;</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sergate sunkia inkstų liga;</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szCs w:val="20"/>
          <w:lang w:eastAsia="sl-SI"/>
        </w:rPr>
      </w:pPr>
      <w:r w:rsidRPr="0035418B">
        <w:rPr>
          <w:rFonts w:ascii="Times New Roman" w:eastAsia="Times New Roman" w:hAnsi="Times New Roman"/>
          <w:szCs w:val="20"/>
          <w:lang w:eastAsia="sl-SI"/>
        </w:rPr>
        <w:t>Jums yra vitamino B12 trūkumas;</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Jums kada nors pasireiškė odos reakcija po gydymo vaistu, panašiu į Escadra, kuriuo</w:t>
      </w:r>
      <w:r>
        <w:rPr>
          <w:rFonts w:ascii="Times New Roman" w:eastAsia="Times New Roman" w:hAnsi="Times New Roman"/>
          <w:lang w:eastAsia="sl-SI"/>
        </w:rPr>
        <w:t xml:space="preserve"> </w:t>
      </w:r>
      <w:r w:rsidRPr="0035418B">
        <w:rPr>
          <w:rFonts w:ascii="Times New Roman" w:eastAsia="Times New Roman" w:hAnsi="Times New Roman"/>
          <w:lang w:eastAsia="sl-SI"/>
        </w:rPr>
        <w:t xml:space="preserve"> mažinamas skrandžio rūgštingumas;</w:t>
      </w:r>
    </w:p>
    <w:p w:rsidR="00CD0F29" w:rsidRPr="00F82023" w:rsidRDefault="00CD0F29" w:rsidP="00CD0F29">
      <w:pPr>
        <w:widowControl w:val="0"/>
        <w:numPr>
          <w:ilvl w:val="0"/>
          <w:numId w:val="14"/>
        </w:numPr>
        <w:tabs>
          <w:tab w:val="clear" w:pos="1983"/>
          <w:tab w:val="num" w:pos="567"/>
        </w:tabs>
        <w:spacing w:after="0" w:line="240" w:lineRule="auto"/>
        <w:ind w:left="567" w:hanging="567"/>
        <w:rPr>
          <w:rFonts w:ascii="Times New Roman" w:hAnsi="Times New Roman"/>
          <w:color w:val="000000"/>
          <w:lang w:val="sl-SI" w:eastAsia="sl-SI"/>
        </w:rPr>
      </w:pPr>
      <w:r w:rsidRPr="00F82023">
        <w:rPr>
          <w:rFonts w:ascii="Times New Roman" w:hAnsi="Times New Roman"/>
          <w:color w:val="000000"/>
          <w:lang w:val="sl-SI" w:eastAsia="sl-SI"/>
        </w:rPr>
        <w:t>Jums bus atliekamas specialus kraujo tyrimas (dėl chromogranino A).</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Jums išbertų odą, ypač saulės apšviestose vietose, kuo skubiau pasakykite apie tai savo gydytojui, kadangi Jums gali tekti nutraukti gydymą Escadra. Taip pat nepamirškite pasakyti, jeigu Jums pasireiškia bet koks kitas neigiamas poveikis, kaip antai sąnarių skausmas.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val="sl-SI" w:eastAsia="sl-SI"/>
        </w:rPr>
      </w:pPr>
      <w:r w:rsidRPr="0035418B">
        <w:rPr>
          <w:rFonts w:ascii="Times New Roman" w:eastAsia="Times New Roman" w:hAnsi="Times New Roman"/>
          <w:lang w:eastAsia="sl-SI"/>
        </w:rPr>
        <w:t xml:space="preserve">Escadra gali paslėpti kitų ligų simptomus. </w:t>
      </w:r>
      <w:r w:rsidRPr="0035418B">
        <w:rPr>
          <w:rFonts w:ascii="Times New Roman" w:eastAsia="Times New Roman" w:hAnsi="Times New Roman"/>
          <w:b/>
          <w:lang w:eastAsia="sl-SI"/>
        </w:rPr>
        <w:t>Jei prieš Escadra vartojimą ar jo metu atsiranda bet kuri iš išvardytų būklių, nedelsdamas pasakykite gydytojui.</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Be priežasties labai sumažėjęs svoris arba rijimo sutrikimas.</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Pilvo skausmas arba nevirškinimas.</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Vėmimas krauju arba maistu.</w:t>
      </w:r>
    </w:p>
    <w:p w:rsidR="00CD0F29" w:rsidRPr="0035418B" w:rsidRDefault="00CD0F29" w:rsidP="00CD0F29">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Juodos (kraujo nudažytos) išmatos.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Jei Jums skirta Escadra vartoti pagal poreikį, tačiau simptomai išlieka arba pakinta jų pobūdis, būtina kreiptis į gydytoją.</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hAnsi="Times New Roman"/>
        </w:rPr>
      </w:pPr>
      <w:r w:rsidRPr="0035418B">
        <w:rPr>
          <w:rFonts w:ascii="Times New Roman" w:hAnsi="Times New Roman"/>
        </w:rPr>
        <w:t>Tokių kaip Escadra protonų siurblio inhibitorių vartojimas, ypač ilgiau nei vienerius metus, gali nežymiai padidinti šlaunikaulio, riešo arba stuburo lūžio riziką. Pasakykite gydytojui, jei sergate osteoporoze arba vartojate kortikosteroidų (jų vartojimas gali būti susijęs su osteoporozės rizikos padidėjimu).</w:t>
      </w:r>
    </w:p>
    <w:p w:rsidR="00CD0F29" w:rsidRPr="0035418B" w:rsidRDefault="00CD0F29" w:rsidP="00CD0F29">
      <w:pPr>
        <w:widowControl w:val="0"/>
        <w:spacing w:after="0" w:line="240" w:lineRule="auto"/>
        <w:rPr>
          <w:rFonts w:ascii="Times New Roman" w:eastAsia="Times New Roman" w:hAnsi="Times New Roman"/>
          <w:u w:val="single"/>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Kiti vaistai ir Escadra</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vartojate arba neseniai vartojote kitų vaistų arba dėl to nesate tikri, apie tai pasakykite gydytojui arba vaistininkui, nes Escadra gali keisti kai kurių vaistų, o jie – Escadra poveikį.</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Nevartokite Escadra, jei esate gydomas:</w:t>
      </w:r>
    </w:p>
    <w:p w:rsidR="00CD0F29" w:rsidRPr="0035418B" w:rsidRDefault="00CD0F29" w:rsidP="00CD0F29">
      <w:pPr>
        <w:widowControl w:val="0"/>
        <w:numPr>
          <w:ilvl w:val="0"/>
          <w:numId w:val="2"/>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n</w:t>
      </w:r>
      <w:r w:rsidRPr="0035418B">
        <w:rPr>
          <w:rFonts w:ascii="Times New Roman" w:eastAsia="Times New Roman" w:hAnsi="Times New Roman"/>
          <w:lang w:eastAsia="sl-SI"/>
        </w:rPr>
        <w:t>elfinaviru (vaistu nuo ŽIV infekcijai gydyti).</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vartojate toliau išvardytų vaistų, pasakykite gydytojui arba vaistininkui.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Atazanaviro (jis skirtas ŽIV infekcijai gydyti).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Ketokonazolo, itrakonazolo ar vorikonazolo (jais gydomos grybelių sukeltos infekcinės ligos).</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val="sl-SI" w:eastAsia="sl-SI"/>
        </w:rPr>
        <w:t>Digoksino (jo skiriama širdies ligoms gydyti)</w:t>
      </w:r>
      <w:r w:rsidRPr="0035418B">
        <w:rPr>
          <w:rFonts w:ascii="Times New Roman" w:eastAsia="Times New Roman" w:hAnsi="Times New Roman"/>
          <w:lang w:eastAsia="sl-SI"/>
        </w:rPr>
        <w:t>.</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Erlotinibo (vartojamas vėžio gydymui)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Citalopramo, imipramino ar klomipramino (jais gydoma depresija).</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Diazepamo (juo šalinamas nerimas, atpalaiduojami raumenys arba gydoma epilepsija).</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Fenitoino (vaisto nuo epilepsijos). Jei vartojate fenitoino, pradedant ar baigiant gydymą Escadra, Jus stebės gydytojas.</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Vaistų, kuriais skystinamas kraujas, pvz., varfarino. Pradedant ar baigiant gydymą Escadra, gydytojui gali tekti Jus stebėti.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Cilostazolo (vartojamo protarpinio šlubumo – kojų skausmo, kuris atsiranda einant dėl nepakankamo aprūpinimo krauju, gydymui).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Cisaprido (vaisto nuo nevirškinimo ir rėmens).</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Metotreksato (vartojamo didelėmis dozėmis chemoterapiniam vėžio gydymui), jeigu metotreksato vartojate didelėmis dozėmis, Jūsų gydytojas gali nurodyti laikinai gydymą.</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Klopidogrelio (vartojamas kraujo krešulių (trombų) susidarymo profilaktikai).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val="sl-SI" w:eastAsia="sl-SI"/>
        </w:rPr>
        <w:t>Takrolimuzą (vartojamą persodinus organus).</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Rifampicino (tuberkuliozės gydymui).</w:t>
      </w:r>
    </w:p>
    <w:p w:rsidR="00CD0F29" w:rsidRPr="0035418B" w:rsidRDefault="00CD0F29" w:rsidP="00CD0F29">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val="sl-SI" w:eastAsia="sl-SI"/>
        </w:rPr>
        <w:t>Jonažolės (</w:t>
      </w:r>
      <w:r w:rsidRPr="0035418B">
        <w:rPr>
          <w:rFonts w:ascii="Times New Roman" w:eastAsia="Times New Roman" w:hAnsi="Times New Roman"/>
          <w:i/>
          <w:iCs/>
          <w:lang w:val="sl-SI" w:eastAsia="sl-SI"/>
        </w:rPr>
        <w:t>Hypericum perforatum</w:t>
      </w:r>
      <w:r w:rsidRPr="0035418B">
        <w:rPr>
          <w:rFonts w:ascii="Times New Roman" w:eastAsia="Times New Roman" w:hAnsi="Times New Roman"/>
          <w:lang w:val="sl-SI" w:eastAsia="sl-SI"/>
        </w:rPr>
        <w:t>) preparatų (jų vartojama lengvai depresijai gydyti).</w:t>
      </w:r>
    </w:p>
    <w:p w:rsidR="00CD0F29" w:rsidRPr="0035418B" w:rsidRDefault="00CD0F29" w:rsidP="00CD0F29">
      <w:pPr>
        <w:widowControl w:val="0"/>
        <w:tabs>
          <w:tab w:val="num" w:pos="540"/>
        </w:tabs>
        <w:autoSpaceDE w:val="0"/>
        <w:autoSpaceDN w:val="0"/>
        <w:adjustRightInd w:val="0"/>
        <w:spacing w:after="0" w:line="240" w:lineRule="auto"/>
        <w:rPr>
          <w:rFonts w:ascii="Times New Roman" w:eastAsia="Times New Roman" w:hAnsi="Times New Roman"/>
          <w:lang w:val="sl-SI"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Jei gydytojas </w:t>
      </w:r>
      <w:r w:rsidRPr="0035418B">
        <w:rPr>
          <w:rFonts w:ascii="Times New Roman" w:eastAsia="Times New Roman" w:hAnsi="Times New Roman"/>
          <w:i/>
          <w:lang w:eastAsia="sl-SI"/>
        </w:rPr>
        <w:t xml:space="preserve">Helicobacter pylori </w:t>
      </w:r>
      <w:r w:rsidRPr="0035418B">
        <w:rPr>
          <w:rFonts w:ascii="Times New Roman" w:eastAsia="Times New Roman" w:hAnsi="Times New Roman"/>
          <w:lang w:eastAsia="sl-SI"/>
        </w:rPr>
        <w:t>infekcijos sukeltoms opoms gydyti kartu su Escadra skyrė ir antibiotikų amoksicilino ir klaritromicino, labai svarbu, kad pasakytumėte apie visus kitus vartojamus vaistus.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 vartojimas su maistu ir gėrimais</w:t>
      </w:r>
    </w:p>
    <w:p w:rsidR="00CD0F29" w:rsidRPr="0035418B" w:rsidRDefault="00CD0F29" w:rsidP="00CD0F29">
      <w:pPr>
        <w:widowControl w:val="0"/>
        <w:numPr>
          <w:ilvl w:val="12"/>
          <w:numId w:val="0"/>
        </w:numPr>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Kapsules galima vartoti valgant arba nevalgius.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Nėštumas ir žindymo laikotarpis</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esate nėščia, žindote kūdikį, manote, kad galbūt esate nėščia, arba planuojate pastoti, tai prieš vartodama šį vaistą pasitarkite su gydytoju arba vaistininku. Prieš vartojant bet kokį vaistą, būtina pasitarti su gydytoju arba vaistininku. Gydytojas nuspręs, ar tuo laikotarpiu galima vartoti Escadra.</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Ar Escadra patenka į moters pieną, nežinoma, todėl žindymo laikotarpiu šio vaisto vartoti negalima.</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Vairavimas ir mechanizmų valdymas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Escadra poveikio gebėjimui vairuoti, naudoti bet kokius įrankius ar valdyti mechanizmus sukelti neturėtų. Vis dėlto nedažnai gali pasireikšti šalutinių poveikių, pvz., svaigulys ir regos sutrikimų (žr. 4 skyrių). Jeigu esate paveiktas, turite atsisakyti vairuoti ir valdyti mechanizmus.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w:t>
      </w:r>
      <w:r>
        <w:rPr>
          <w:rFonts w:ascii="Times New Roman" w:eastAsia="Times New Roman" w:hAnsi="Times New Roman"/>
          <w:b/>
          <w:lang w:eastAsia="sl-SI"/>
        </w:rPr>
        <w:t xml:space="preserve"> </w:t>
      </w:r>
      <w:r w:rsidRPr="0035418B">
        <w:rPr>
          <w:rFonts w:ascii="Times New Roman" w:eastAsia="Times New Roman" w:hAnsi="Times New Roman"/>
          <w:b/>
          <w:lang w:eastAsia="sl-SI"/>
        </w:rPr>
        <w:t>sudėtyje yra sacharozės</w:t>
      </w:r>
      <w:r>
        <w:rPr>
          <w:rFonts w:ascii="Times New Roman" w:eastAsia="Times New Roman" w:hAnsi="Times New Roman"/>
          <w:b/>
          <w:lang w:eastAsia="sl-SI"/>
        </w:rPr>
        <w:t xml:space="preserve"> ir natrio</w:t>
      </w:r>
    </w:p>
    <w:p w:rsidR="00CD0F29" w:rsidRDefault="00CD0F29" w:rsidP="00CD0F29">
      <w:pPr>
        <w:widowControl w:val="0"/>
        <w:numPr>
          <w:ilvl w:val="12"/>
          <w:numId w:val="0"/>
        </w:numPr>
        <w:spacing w:after="0" w:line="240" w:lineRule="auto"/>
        <w:ind w:right="-2"/>
        <w:outlineLvl w:val="0"/>
        <w:rPr>
          <w:rFonts w:ascii="Times New Roman" w:eastAsia="Times New Roman" w:hAnsi="Times New Roman"/>
          <w:lang w:eastAsia="sl-SI"/>
        </w:rPr>
      </w:pPr>
      <w:r w:rsidRPr="0035418B">
        <w:rPr>
          <w:rFonts w:ascii="Times New Roman" w:eastAsia="Times New Roman" w:hAnsi="Times New Roman"/>
          <w:lang w:eastAsia="sl-SI"/>
        </w:rPr>
        <w:t>Escadra sudėtyje yra sacharozės. Jeigu gydytojas Jums yra sakęs, kad netoleruojate kokių nors angliavandenių, kreipkitės į jį prieš pradėdami vartoti šį vaistą.</w:t>
      </w:r>
    </w:p>
    <w:p w:rsidR="00CD0F29" w:rsidRPr="00F82023" w:rsidRDefault="00CD0F29" w:rsidP="00CD0F29">
      <w:pPr>
        <w:widowControl w:val="0"/>
        <w:numPr>
          <w:ilvl w:val="12"/>
          <w:numId w:val="0"/>
        </w:numPr>
        <w:spacing w:after="0" w:line="240" w:lineRule="auto"/>
        <w:ind w:right="-2"/>
        <w:outlineLvl w:val="0"/>
        <w:rPr>
          <w:rFonts w:ascii="Times New Roman" w:eastAsia="Times New Roman" w:hAnsi="Times New Roman"/>
          <w:lang w:eastAsia="sl-SI"/>
        </w:rPr>
      </w:pPr>
    </w:p>
    <w:p w:rsidR="00CD0F29" w:rsidRPr="0035418B" w:rsidRDefault="00CD0F29" w:rsidP="00CD0F29">
      <w:pPr>
        <w:widowControl w:val="0"/>
        <w:numPr>
          <w:ilvl w:val="12"/>
          <w:numId w:val="0"/>
        </w:numPr>
        <w:spacing w:after="0" w:line="240" w:lineRule="auto"/>
        <w:ind w:right="-2"/>
        <w:outlineLvl w:val="0"/>
        <w:rPr>
          <w:rFonts w:ascii="Times New Roman" w:eastAsia="Times New Roman" w:hAnsi="Times New Roman"/>
          <w:lang w:eastAsia="sl-SI"/>
        </w:rPr>
      </w:pPr>
      <w:r w:rsidRPr="00266AA7">
        <w:rPr>
          <w:rFonts w:ascii="Times New Roman" w:eastAsia="Times New Roman" w:hAnsi="Times New Roman"/>
          <w:lang w:eastAsia="sl-SI"/>
        </w:rPr>
        <w:t>Šio vaisto vienoje kapsulėje yra mažiau nei 1 mmol (23 mg) natrio, t.y. jis beveik neturi reikšmės.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outlineLvl w:val="1"/>
        <w:rPr>
          <w:rFonts w:ascii="Times New Roman" w:eastAsia="Times New Roman" w:hAnsi="Times New Roman"/>
          <w:b/>
          <w:lang w:eastAsia="sl-SI"/>
        </w:rPr>
      </w:pPr>
      <w:bookmarkStart w:id="6" w:name="_Toc129243266"/>
      <w:bookmarkStart w:id="7" w:name="_Toc129243141"/>
      <w:r w:rsidRPr="0035418B">
        <w:rPr>
          <w:rFonts w:ascii="Times New Roman" w:eastAsia="Times New Roman" w:hAnsi="Times New Roman"/>
          <w:b/>
          <w:lang w:eastAsia="sl-SI"/>
        </w:rPr>
        <w:t>3.</w:t>
      </w:r>
      <w:r w:rsidRPr="0035418B">
        <w:rPr>
          <w:rFonts w:ascii="Times New Roman" w:eastAsia="Times New Roman" w:hAnsi="Times New Roman"/>
          <w:b/>
          <w:lang w:eastAsia="sl-SI"/>
        </w:rPr>
        <w:tab/>
        <w:t xml:space="preserve">Kaip vartoti </w:t>
      </w:r>
      <w:bookmarkEnd w:id="6"/>
      <w:bookmarkEnd w:id="7"/>
      <w:r w:rsidRPr="0035418B">
        <w:rPr>
          <w:rFonts w:ascii="Times New Roman" w:eastAsia="Times New Roman" w:hAnsi="Times New Roman"/>
          <w:b/>
          <w:lang w:eastAsia="sl-SI"/>
        </w:rPr>
        <w:t>Escadra</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Visada vartokite šį vaistą tiksliai, kaip nurodė gydytojas. Jeigu abejojate, kreipkitės į gydytoją arba vaistininką.</w:t>
      </w:r>
    </w:p>
    <w:p w:rsidR="00CD0F29" w:rsidRPr="0035418B" w:rsidRDefault="00CD0F29" w:rsidP="00CD0F29">
      <w:pPr>
        <w:widowControl w:val="0"/>
        <w:numPr>
          <w:ilvl w:val="0"/>
          <w:numId w:val="3"/>
        </w:numPr>
        <w:tabs>
          <w:tab w:val="clear" w:pos="360"/>
        </w:tabs>
        <w:autoSpaceDE w:val="0"/>
        <w:autoSpaceDN w:val="0"/>
        <w:adjustRightInd w:val="0"/>
        <w:spacing w:after="0" w:line="240" w:lineRule="auto"/>
        <w:ind w:left="540" w:hanging="540"/>
        <w:rPr>
          <w:rFonts w:ascii="Times New Roman" w:eastAsia="Times New Roman" w:hAnsi="Times New Roman"/>
          <w:lang w:val="sl-SI" w:eastAsia="sl-SI"/>
        </w:rPr>
      </w:pPr>
      <w:r w:rsidRPr="0035418B">
        <w:rPr>
          <w:rFonts w:ascii="Times New Roman" w:eastAsia="Times New Roman" w:hAnsi="Times New Roman"/>
          <w:lang w:eastAsia="sl-SI"/>
        </w:rPr>
        <w:t>Jei šio vaisto vartojate ilgai, gydytojas gali norėti stebėti Jūsų būklę (ypač jei gydotės ilgiau nei metus).</w:t>
      </w:r>
    </w:p>
    <w:p w:rsidR="00CD0F29" w:rsidRPr="0035418B" w:rsidRDefault="00CD0F29" w:rsidP="00CD0F29">
      <w:pPr>
        <w:widowControl w:val="0"/>
        <w:numPr>
          <w:ilvl w:val="0"/>
          <w:numId w:val="3"/>
        </w:numPr>
        <w:tabs>
          <w:tab w:val="clear" w:pos="360"/>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gydytojas Jums nurodė šio vaisto vartoti pagal poreikį, pasakykite gydytojui, jei simptomai pakinta.</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Kiek vaisto vartoti</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Kiek kapsulių ir kiek ilgai vartoti, pasakys gydytojas. Tai priklausys nuo Jūsų būklės, amžiaus bei to, kaip veikia kepenys.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Rekomenduojamas dozavimas nurodytas toliau.</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18 metų ir vyresni sua</w:t>
      </w:r>
      <w:r>
        <w:rPr>
          <w:rFonts w:ascii="Times New Roman" w:eastAsia="Times New Roman" w:hAnsi="Times New Roman"/>
          <w:b/>
          <w:lang w:eastAsia="sl-SI"/>
        </w:rPr>
        <w:t>u</w:t>
      </w:r>
      <w:r w:rsidRPr="0035418B">
        <w:rPr>
          <w:rFonts w:ascii="Times New Roman" w:eastAsia="Times New Roman" w:hAnsi="Times New Roman"/>
          <w:b/>
          <w:lang w:eastAsia="sl-SI"/>
        </w:rPr>
        <w:t>gusieji</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Gastroezofaginio refliukso ligos (GERL) sukelto rėmens gydymas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gydytojas nustatė, kad vamzdelis, kuriuo slenka maistas (stemplė) šiek tiek pažeistas, rekomenduojama kartą per parą 4 savaites vartojama Escadra dozė yra viena 40 mg skrandyje neiri kapsulė. Jei stemplė neišgis, gydytojas tokią pačią dozę gali nurodyti vartoti dar 4 savaites.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Kai stemplė užgyja, rekomenduojama kartą per parą vartojama Escadra dozė yra viena skrandyje neiri 20 mg kapsulė.</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Jūsų stemplė nėra pažeista, rekomenduojama kasdien vartojama Escadra dozė yra viena 20 mg skrandyje neiri kapsulė. Jei būklė kontroliuojama, gydytojas gali nurodyti vaisto vartoti tada, kada reikia, bet ne daugiau kaip vieną Escadra 20 mg skrandyje neirią kapsulę kiekvieną dieną.</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yra sunkus kepenų sutrikimas, gydytojas gali nurodyti vartoti mažesnę dozę.</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 xml:space="preserve">Opų, kurias sukėlė </w:t>
      </w:r>
      <w:r w:rsidRPr="0035418B">
        <w:rPr>
          <w:rFonts w:ascii="Times New Roman" w:eastAsia="Times New Roman" w:hAnsi="Times New Roman"/>
          <w:b/>
          <w:i/>
          <w:lang w:eastAsia="sl-SI"/>
        </w:rPr>
        <w:t>Helicobacter pylori</w:t>
      </w:r>
      <w:r w:rsidRPr="0035418B">
        <w:rPr>
          <w:rFonts w:ascii="Times New Roman" w:eastAsia="Times New Roman" w:hAnsi="Times New Roman"/>
          <w:b/>
          <w:lang w:eastAsia="sl-SI"/>
        </w:rPr>
        <w:t xml:space="preserve"> infekcija, gydymas ir atsinaujinimo profilaktika</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du kartus per parą vieną savaitę vartojama Escadra dozė yra viena 20 mg skrandyje neiri kapsulė.</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Gydytojas nurodys tuo pat metu vartoti antibiotikų, pvz., amoksicilinu ir klaritromicinu.</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Skrandžio opų, kurias sukelia NVNU (nesteroidiniai vaistai nuo uždegimo), gydymas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kartą per parą 4</w:t>
      </w:r>
      <w:r w:rsidRPr="0035418B">
        <w:rPr>
          <w:rFonts w:ascii="Times New Roman" w:eastAsia="Times New Roman" w:hAnsi="Times New Roman"/>
          <w:lang w:eastAsia="sl-SI"/>
        </w:rPr>
        <w:noBreakHyphen/>
        <w:t>8 savaites vartojama Escadra dozė yra viena 20 mg skrandyje neiri kapsulė.</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Skrandžio opų, kurias sukelia NVNU (nesteroidiniai vaistai nuo uždegimo), profilaktika</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kartą per parą vartojama Escadra dozė yra viena 20 mg skrandyje neiri kapsulė.</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bCs/>
          <w:lang w:eastAsia="sl-SI"/>
        </w:rPr>
      </w:pPr>
      <w:r w:rsidRPr="0035418B">
        <w:rPr>
          <w:rFonts w:ascii="Times New Roman" w:eastAsia="Times New Roman" w:hAnsi="Times New Roman"/>
          <w:b/>
          <w:bCs/>
          <w:lang w:eastAsia="sl-SI"/>
        </w:rPr>
        <w:t xml:space="preserve">Tęstinis gydymas po </w:t>
      </w:r>
      <w:r w:rsidRPr="0035418B">
        <w:rPr>
          <w:rFonts w:ascii="Times New Roman" w:eastAsia="Times New Roman" w:hAnsi="Times New Roman"/>
          <w:b/>
          <w:lang w:eastAsia="sl-SI"/>
        </w:rPr>
        <w:t>į veną vartojamu ezomeprazolu pradėtos opos kraujavimo atsinaujinimo profilaktikos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kartą per parą 4 savaites vartojama Escadra dozė yra viena 40 mg skrandyje neiri kapsulė.</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Būklės, kai dėl kasos naviko skrandyje yra per daug rūgšties (</w:t>
      </w:r>
      <w:r>
        <w:rPr>
          <w:rFonts w:ascii="Times New Roman" w:eastAsia="Times New Roman" w:hAnsi="Times New Roman"/>
          <w:b/>
          <w:lang w:eastAsia="sl-SI"/>
        </w:rPr>
        <w:t>Z</w:t>
      </w:r>
      <w:r w:rsidRPr="0035418B">
        <w:rPr>
          <w:rFonts w:ascii="Times New Roman" w:eastAsia="Times New Roman" w:hAnsi="Times New Roman"/>
          <w:b/>
          <w:lang w:eastAsia="sl-SI"/>
        </w:rPr>
        <w:t>olingerio-Elisono (</w:t>
      </w:r>
      <w:r w:rsidRPr="0035418B">
        <w:rPr>
          <w:rFonts w:ascii="Times New Roman" w:eastAsia="Times New Roman" w:hAnsi="Times New Roman"/>
          <w:b/>
          <w:i/>
          <w:lang w:eastAsia="sl-SI"/>
        </w:rPr>
        <w:t>Zollinger-Ellison</w:t>
      </w:r>
      <w:r w:rsidRPr="0035418B">
        <w:rPr>
          <w:rFonts w:ascii="Times New Roman" w:eastAsia="Times New Roman" w:hAnsi="Times New Roman"/>
          <w:b/>
          <w:lang w:eastAsia="sl-SI"/>
        </w:rPr>
        <w:t>)</w:t>
      </w:r>
      <w:r w:rsidRPr="0035418B">
        <w:rPr>
          <w:rFonts w:ascii="Times New Roman" w:eastAsia="Times New Roman" w:hAnsi="Times New Roman"/>
          <w:b/>
          <w:i/>
          <w:lang w:eastAsia="sl-SI"/>
        </w:rPr>
        <w:t xml:space="preserve"> </w:t>
      </w:r>
      <w:r w:rsidRPr="0035418B">
        <w:rPr>
          <w:rFonts w:ascii="Times New Roman" w:eastAsia="Times New Roman" w:hAnsi="Times New Roman"/>
          <w:b/>
          <w:lang w:eastAsia="sl-SI"/>
        </w:rPr>
        <w:t>sindromas)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du kartus per parą vartojama Escadra dozė yra viena 40 mg skrandyje neiri kapsulė.</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Gydytojas dozę koreguos atsižvelgdamas į Jūsų būklę, be to, jis nuspręs, kiek laiko vaisto reikia vartoti. Didžiausia du kartus per parą vartojama dozė yra 80 mg.</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12 metų ir vyresni paaugliai</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Gastroezofaginio refliukso ligos (GERL) sukelto rėmens gydymas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gydytojas nustatė, kad vamzdelis, kuriuo slenka maistas (stemplė) šiek tiek pažeistas, rekomenduojama kartą per parą 4 savaites vartojama Escadra dozė yra viena 40 mg skrandyje neiri kapsulė. Jei stemplė neišgis, gydytojas tokią pačią dozę gali nurodyti vartoti dar 4 savaites.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Kai stemplė užgyja, rekomenduojama kartą per parą vartojama Escadra dozė yra viena skrandyje neiri 20 mg kapsulė.</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szCs w:val="20"/>
          <w:lang w:eastAsia="sl-SI"/>
        </w:rPr>
      </w:pPr>
      <w:r w:rsidRPr="0035418B">
        <w:rPr>
          <w:rFonts w:ascii="Times New Roman" w:eastAsia="Times New Roman" w:hAnsi="Times New Roman"/>
          <w:lang w:eastAsia="sl-SI"/>
        </w:rPr>
        <w:t>Jei Jūsų stemplė nėra pažeista, rekomenduojama kasdien vartojama Escadra dozė yra viena 20 mg skrandyje neiri kapsulė.</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yra sunkus kepenų sutrikimas, gydytojas gali nurodyti vartoti mažesnę dozę.</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 xml:space="preserve">Opų, kurias sukėlė </w:t>
      </w:r>
      <w:r w:rsidRPr="0035418B">
        <w:rPr>
          <w:rFonts w:ascii="Times New Roman" w:eastAsia="Times New Roman" w:hAnsi="Times New Roman"/>
          <w:b/>
          <w:i/>
          <w:lang w:eastAsia="sl-SI"/>
        </w:rPr>
        <w:t>Helicobacter pylori</w:t>
      </w:r>
      <w:r w:rsidRPr="0035418B">
        <w:rPr>
          <w:rFonts w:ascii="Times New Roman" w:eastAsia="Times New Roman" w:hAnsi="Times New Roman"/>
          <w:b/>
          <w:lang w:eastAsia="sl-SI"/>
        </w:rPr>
        <w:t xml:space="preserve"> infekcija, gydymas ir atsinaujinimo profilaktika</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du kartus per parą vieną savaitę vartojama Escadra dozė yra viena 20 mg skrandyje neiri kapsulė.</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Gydytojas nurodys tuo pat metu vartoti antibiotikų, pvz., amoksicilinu ir klaritromicinu.</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Šio vaisto vartojimas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Kapsules galima gerti bet kuriuo paros metu.</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Kapsules galima gerti valgant arba nevalgius.</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Kapsules nurykite sveikas užsigerdami skysčiu. Kapsulių negalima kramtyti arba smulkinti, kadangi jos padengtos danga, kuri neleidžia rūgščiai suardyti vaistą skrandyje. Labai svarbu nepažeisti granulių.</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Jei sunku nuryti kapsules</w:t>
      </w:r>
    </w:p>
    <w:p w:rsidR="00CD0F29" w:rsidRPr="0035418B" w:rsidRDefault="00CD0F29" w:rsidP="00CD0F29">
      <w:pPr>
        <w:widowControl w:val="0"/>
        <w:numPr>
          <w:ilvl w:val="0"/>
          <w:numId w:val="4"/>
        </w:numPr>
        <w:tabs>
          <w:tab w:val="clear" w:pos="72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sunku nuryti kapsules:</w:t>
      </w:r>
    </w:p>
    <w:p w:rsidR="00CD0F29" w:rsidRPr="0035418B" w:rsidRDefault="00CD0F29" w:rsidP="00CD0F29">
      <w:pPr>
        <w:widowControl w:val="0"/>
        <w:numPr>
          <w:ilvl w:val="0"/>
          <w:numId w:val="5"/>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atidarykite kapsulę ir jos turinį išpilkite į pusę stiklinės negazuoto (be angliarūgštės) vandens. Nenaudokite kitokių skysčių;</w:t>
      </w:r>
    </w:p>
    <w:p w:rsidR="00CD0F29" w:rsidRPr="0035418B" w:rsidRDefault="00CD0F29" w:rsidP="00CD0F29">
      <w:pPr>
        <w:widowControl w:val="0"/>
        <w:numPr>
          <w:ilvl w:val="0"/>
          <w:numId w:val="5"/>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gautą mišinį gerkite iš karto arba per 30 minučių. Mišinį prieš gerdami išmaišykite;</w:t>
      </w:r>
    </w:p>
    <w:p w:rsidR="00CD0F29" w:rsidRPr="0035418B" w:rsidRDefault="00CD0F29" w:rsidP="00CD0F29">
      <w:pPr>
        <w:widowControl w:val="0"/>
        <w:numPr>
          <w:ilvl w:val="0"/>
          <w:numId w:val="5"/>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kad būtumėte tikras, jog išgėrėte visą vaisto dozę, stiklinę labai gerai išskalaukite dar puse stiklinės vandens ir jį išgerkite. Vaiste yra kietų dalelių, jų nekramtykite ir nesmulkinkite.</w:t>
      </w:r>
    </w:p>
    <w:p w:rsidR="00CD0F29" w:rsidRPr="0035418B" w:rsidRDefault="00CD0F29" w:rsidP="00CD0F29">
      <w:pPr>
        <w:widowControl w:val="0"/>
        <w:numPr>
          <w:ilvl w:val="0"/>
          <w:numId w:val="4"/>
        </w:numPr>
        <w:tabs>
          <w:tab w:val="clear" w:pos="72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visai negalite nuryti, kapsulę galite sumaišyti su vandeniu ir įtraukti su švirkštu. Tokiu atveju vaistą galima vartoti tiesiogiai pro vamzdelį, įkištą į skrandį (skrandžio zondą).</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ind w:left="720" w:hanging="720"/>
        <w:rPr>
          <w:rFonts w:ascii="Times New Roman" w:eastAsia="Times New Roman" w:hAnsi="Times New Roman"/>
          <w:b/>
          <w:lang w:eastAsia="sl-SI"/>
        </w:rPr>
      </w:pPr>
      <w:r w:rsidRPr="0035418B">
        <w:rPr>
          <w:rFonts w:ascii="Times New Roman" w:eastAsia="Times New Roman" w:hAnsi="Times New Roman"/>
          <w:b/>
          <w:lang w:eastAsia="sl-SI"/>
        </w:rPr>
        <w:t>Jaunesni nei 12 metų amžiaus vaikai</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Escadra netinka jaunesniems nei 12 metų amžiaus vaikams. Gali būti jiems tinkamesnių farmacinių šio vaisto formų.</w:t>
      </w:r>
    </w:p>
    <w:p w:rsidR="00CD0F29" w:rsidRPr="0035418B" w:rsidRDefault="00CD0F29" w:rsidP="00CD0F29">
      <w:pPr>
        <w:widowControl w:val="0"/>
        <w:spacing w:after="0" w:line="240" w:lineRule="auto"/>
        <w:ind w:left="720" w:hanging="720"/>
        <w:rPr>
          <w:rFonts w:ascii="Times New Roman" w:eastAsia="Times New Roman" w:hAnsi="Times New Roman"/>
          <w:u w:val="single"/>
          <w:lang w:eastAsia="sl-SI"/>
        </w:rPr>
      </w:pPr>
    </w:p>
    <w:p w:rsidR="00CD0F29" w:rsidRPr="0035418B" w:rsidRDefault="00CD0F29" w:rsidP="00CD0F29">
      <w:pPr>
        <w:widowControl w:val="0"/>
        <w:spacing w:after="0" w:line="240" w:lineRule="auto"/>
        <w:ind w:left="720" w:hanging="720"/>
        <w:rPr>
          <w:rFonts w:ascii="Times New Roman" w:eastAsia="Times New Roman" w:hAnsi="Times New Roman"/>
          <w:b/>
          <w:lang w:eastAsia="sl-SI"/>
        </w:rPr>
      </w:pPr>
      <w:r w:rsidRPr="0035418B">
        <w:rPr>
          <w:rFonts w:ascii="Times New Roman" w:eastAsia="Times New Roman" w:hAnsi="Times New Roman"/>
          <w:b/>
          <w:lang w:eastAsia="sl-SI"/>
        </w:rPr>
        <w:t>Senyviems pacientams</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Senyviems pacientams dozės keisti nereikia.</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Pr>
          <w:rFonts w:ascii="Times New Roman" w:eastAsia="Times New Roman" w:hAnsi="Times New Roman"/>
          <w:b/>
          <w:lang w:eastAsia="sl-SI"/>
        </w:rPr>
        <w:t>Ką daryti p</w:t>
      </w:r>
      <w:r w:rsidRPr="0035418B">
        <w:rPr>
          <w:rFonts w:ascii="Times New Roman" w:eastAsia="Times New Roman" w:hAnsi="Times New Roman"/>
          <w:b/>
          <w:lang w:eastAsia="sl-SI"/>
        </w:rPr>
        <w:t>avartojus per didelę Escadra dozę</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išgėrėte daugiau Escadra, nei nurodė gydytojas, nedelsdamas kreipkitės į gydytoją arba vaistininką.</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Pamiršus pavartoti Escadra</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pamiršote išgerti dozę, ją suvartokite, kai tik atsiminsite. Vis dėlto, jei jau beveik laikas gerti kitą dozę, pamirštąją praleiskite.</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Negalima vartoti dvigubos dozės (dviejų dozių tuo pat metu) norint kompensuoti praleistą dozę.</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kiltų daugiau klausimų dėl šio vaisto vartojimo, kreipkitės į gydytoją arba vaistininką.</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outlineLvl w:val="1"/>
        <w:rPr>
          <w:rFonts w:ascii="Times New Roman" w:eastAsia="Times New Roman" w:hAnsi="Times New Roman"/>
          <w:b/>
          <w:lang w:eastAsia="sl-SI"/>
        </w:rPr>
      </w:pPr>
      <w:bookmarkStart w:id="8" w:name="_Toc129243267"/>
      <w:bookmarkStart w:id="9" w:name="_Toc129243142"/>
      <w:r w:rsidRPr="0035418B">
        <w:rPr>
          <w:rFonts w:ascii="Times New Roman" w:eastAsia="Times New Roman" w:hAnsi="Times New Roman"/>
          <w:b/>
          <w:lang w:eastAsia="sl-SI"/>
        </w:rPr>
        <w:t>4.</w:t>
      </w:r>
      <w:r w:rsidRPr="0035418B">
        <w:rPr>
          <w:rFonts w:ascii="Times New Roman" w:eastAsia="Times New Roman" w:hAnsi="Times New Roman"/>
          <w:b/>
          <w:lang w:eastAsia="sl-SI"/>
        </w:rPr>
        <w:tab/>
        <w:t>Galimas šalutinis poveikis</w:t>
      </w:r>
      <w:bookmarkEnd w:id="8"/>
      <w:bookmarkEnd w:id="9"/>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Šis vaistas, kaip ir visi kiti, gali sukelti šalutinį poveikį, nors jis pasireiškia ne visiems žmonėms.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b/>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Jei atsiras bet koks toliau išvardytas sunkus šalutinis poveikis, nedelsdamas nutraukite Escadra vartojimą ir kreipkitės į gydytoją.</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Staiga atsiradęs švokštimas, lūpų, liežuvio, ryklės ar viso kūno patinimas, išbėrimas, alpulys ar rijimo pasunkėjimas (sunki alerginė reakcija).</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Odos paraudimas su jos pūslėjimu ar lupimusi. Gali atsirasti sunkių pūslių ir kraujavimas lūpose, akyse, burnoje, nosyje ir lyties organuose. Tai gali būti būklės, vadinamos Stivenso- Džonsono (</w:t>
      </w:r>
      <w:r w:rsidRPr="0035418B">
        <w:rPr>
          <w:rFonts w:ascii="Times New Roman" w:eastAsia="Times New Roman" w:hAnsi="Times New Roman"/>
          <w:i/>
          <w:lang w:eastAsia="sl-SI"/>
        </w:rPr>
        <w:t>Stevens-Johnson</w:t>
      </w:r>
      <w:r w:rsidRPr="0035418B">
        <w:rPr>
          <w:rFonts w:ascii="Times New Roman" w:eastAsia="Times New Roman" w:hAnsi="Times New Roman"/>
          <w:lang w:eastAsia="sl-SI"/>
        </w:rPr>
        <w:t>) sindromu arba toksine epidermio nekrolize.</w:t>
      </w:r>
    </w:p>
    <w:p w:rsidR="00CD0F29" w:rsidRPr="0035418B" w:rsidRDefault="00CD0F29" w:rsidP="00CD0F29">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Odos pageltimas, šlapimo patamsėjimas ir nuovargis (tai gali būti kepenų sutrikimo simptomai).</w:t>
      </w:r>
    </w:p>
    <w:p w:rsidR="00CD0F29" w:rsidRPr="0035418B" w:rsidRDefault="00CD0F29" w:rsidP="00CD0F29">
      <w:pPr>
        <w:widowControl w:val="0"/>
        <w:tabs>
          <w:tab w:val="left" w:pos="708"/>
        </w:tabs>
        <w:spacing w:after="0" w:line="240" w:lineRule="auto"/>
        <w:ind w:right="-29"/>
        <w:rPr>
          <w:rFonts w:ascii="Times New Roman" w:eastAsia="Times New Roman" w:hAnsi="Times New Roman"/>
        </w:rPr>
      </w:pPr>
    </w:p>
    <w:p w:rsidR="00CD0F29" w:rsidRPr="0035418B" w:rsidRDefault="00CD0F29" w:rsidP="00CD0F29">
      <w:pPr>
        <w:widowControl w:val="0"/>
        <w:numPr>
          <w:ilvl w:val="12"/>
          <w:numId w:val="0"/>
        </w:numPr>
        <w:tabs>
          <w:tab w:val="left" w:pos="708"/>
        </w:tabs>
        <w:spacing w:after="0" w:line="240" w:lineRule="auto"/>
        <w:ind w:right="-29"/>
        <w:rPr>
          <w:rFonts w:ascii="Times New Roman" w:eastAsia="Times New Roman" w:hAnsi="Times New Roman"/>
          <w:lang w:val="sl-SI" w:eastAsia="sl-SI"/>
        </w:rPr>
      </w:pPr>
      <w:r w:rsidRPr="0035418B">
        <w:rPr>
          <w:rFonts w:ascii="Times New Roman" w:eastAsia="Times New Roman" w:hAnsi="Times New Roman"/>
        </w:rPr>
        <w:t xml:space="preserve">Toks poveikis yra retas (atsiranda </w:t>
      </w:r>
      <w:r>
        <w:rPr>
          <w:rFonts w:ascii="Times New Roman" w:eastAsia="Times New Roman" w:hAnsi="Times New Roman"/>
        </w:rPr>
        <w:t>rečiau</w:t>
      </w:r>
      <w:r w:rsidRPr="0035418B">
        <w:rPr>
          <w:rFonts w:ascii="Times New Roman" w:eastAsia="Times New Roman" w:hAnsi="Times New Roman"/>
        </w:rPr>
        <w:t xml:space="preserve"> kaip </w:t>
      </w:r>
      <w:r w:rsidRPr="0035418B">
        <w:rPr>
          <w:rFonts w:ascii="Times New Roman" w:eastAsia="Times New Roman" w:hAnsi="Times New Roman"/>
          <w:lang w:eastAsia="sl-SI"/>
        </w:rPr>
        <w:t xml:space="preserve"> iš 1</w:t>
      </w:r>
      <w:r>
        <w:rPr>
          <w:rFonts w:ascii="Times New Roman" w:eastAsia="Times New Roman" w:hAnsi="Times New Roman"/>
          <w:lang w:eastAsia="sl-SI"/>
        </w:rPr>
        <w:t> </w:t>
      </w:r>
      <w:r w:rsidRPr="0035418B">
        <w:rPr>
          <w:rFonts w:ascii="Times New Roman" w:eastAsia="Times New Roman" w:hAnsi="Times New Roman"/>
          <w:lang w:eastAsia="sl-SI"/>
        </w:rPr>
        <w:t>000</w:t>
      </w:r>
      <w:r>
        <w:rPr>
          <w:rFonts w:ascii="Times New Roman" w:eastAsia="Times New Roman" w:hAnsi="Times New Roman"/>
          <w:lang w:eastAsia="sl-SI"/>
        </w:rPr>
        <w:t xml:space="preserve"> asmenų</w:t>
      </w:r>
      <w:r w:rsidRPr="0035418B">
        <w:rPr>
          <w:rFonts w:ascii="Times New Roman" w:eastAsia="Times New Roman" w:hAnsi="Times New Roman"/>
          <w:lang w:eastAsia="sl-SI"/>
        </w:rPr>
        <w:t>).</w:t>
      </w:r>
    </w:p>
    <w:p w:rsidR="00CD0F29" w:rsidRPr="0035418B" w:rsidRDefault="00CD0F29" w:rsidP="00CD0F29">
      <w:pPr>
        <w:widowControl w:val="0"/>
        <w:numPr>
          <w:ilvl w:val="12"/>
          <w:numId w:val="0"/>
        </w:numPr>
        <w:tabs>
          <w:tab w:val="left" w:pos="708"/>
        </w:tabs>
        <w:spacing w:after="0" w:line="240" w:lineRule="auto"/>
        <w:ind w:right="-29"/>
        <w:rPr>
          <w:rFonts w:ascii="Times New Roman" w:eastAsia="Times New Roman" w:hAnsi="Times New Roman"/>
          <w:lang w:eastAsia="sl-SI"/>
        </w:rPr>
      </w:pPr>
    </w:p>
    <w:p w:rsidR="00CD0F29" w:rsidRPr="0035418B" w:rsidRDefault="00CD0F29" w:rsidP="00CD0F29">
      <w:pPr>
        <w:widowControl w:val="0"/>
        <w:numPr>
          <w:ilvl w:val="12"/>
          <w:numId w:val="0"/>
        </w:numPr>
        <w:tabs>
          <w:tab w:val="left" w:pos="708"/>
        </w:tabs>
        <w:spacing w:after="0" w:line="240" w:lineRule="auto"/>
        <w:ind w:right="-29"/>
        <w:rPr>
          <w:rFonts w:ascii="Times New Roman" w:eastAsia="Times New Roman" w:hAnsi="Times New Roman"/>
        </w:rPr>
      </w:pPr>
      <w:r w:rsidRPr="0035418B">
        <w:rPr>
          <w:rFonts w:ascii="Times New Roman" w:eastAsia="Times New Roman" w:hAnsi="Times New Roman"/>
          <w:lang w:eastAsia="sl-SI"/>
        </w:rPr>
        <w:t>Kitoks galimas šalutinis poveikis.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Dažn</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CD0F29" w:rsidRPr="0035418B" w:rsidRDefault="00CD0F29" w:rsidP="00CD0F29">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g</w:t>
      </w:r>
      <w:r w:rsidRPr="0035418B">
        <w:rPr>
          <w:rFonts w:ascii="Times New Roman" w:eastAsia="Times New Roman" w:hAnsi="Times New Roman"/>
          <w:lang w:eastAsia="sl-SI"/>
        </w:rPr>
        <w:t>alvos skausmas</w:t>
      </w:r>
      <w:r>
        <w:rPr>
          <w:rFonts w:ascii="Times New Roman" w:eastAsia="Times New Roman" w:hAnsi="Times New Roman"/>
          <w:lang w:eastAsia="sl-SI"/>
        </w:rPr>
        <w:t>;</w:t>
      </w:r>
    </w:p>
    <w:p w:rsidR="00CD0F29" w:rsidRPr="0035418B" w:rsidRDefault="00CD0F29" w:rsidP="00CD0F29">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p</w:t>
      </w:r>
      <w:r w:rsidRPr="0035418B">
        <w:rPr>
          <w:rFonts w:ascii="Times New Roman" w:eastAsia="Times New Roman" w:hAnsi="Times New Roman"/>
          <w:lang w:eastAsia="sl-SI"/>
        </w:rPr>
        <w:t>oveikis skrandžiui ir žarnoms: viduriavimas, pilvo skausmas, vidurių užkietėjimas, pilvo pūtimas</w:t>
      </w:r>
      <w:r>
        <w:rPr>
          <w:rFonts w:ascii="Times New Roman" w:eastAsia="Times New Roman" w:hAnsi="Times New Roman"/>
          <w:lang w:eastAsia="sl-SI"/>
        </w:rPr>
        <w:t>;</w:t>
      </w:r>
    </w:p>
    <w:p w:rsidR="00CD0F29" w:rsidRPr="0035418B" w:rsidRDefault="00CD0F29" w:rsidP="00CD0F29">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š</w:t>
      </w:r>
      <w:r w:rsidRPr="0035418B">
        <w:rPr>
          <w:rFonts w:ascii="Times New Roman" w:eastAsia="Times New Roman" w:hAnsi="Times New Roman"/>
          <w:lang w:eastAsia="sl-SI"/>
        </w:rPr>
        <w:t>leikštulys (pykinimas) ir vėmimas</w:t>
      </w:r>
      <w:r>
        <w:rPr>
          <w:rFonts w:ascii="Times New Roman" w:eastAsia="Times New Roman" w:hAnsi="Times New Roman"/>
          <w:lang w:eastAsia="sl-SI"/>
        </w:rPr>
        <w:t>;</w:t>
      </w:r>
    </w:p>
    <w:p w:rsidR="00CD0F29" w:rsidRPr="0035418B" w:rsidRDefault="00CD0F29" w:rsidP="00CD0F29">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hAnsi="Times New Roman"/>
        </w:rPr>
        <w:t>g</w:t>
      </w:r>
      <w:r w:rsidRPr="0035418B">
        <w:rPr>
          <w:rFonts w:ascii="Times New Roman" w:hAnsi="Times New Roman"/>
        </w:rPr>
        <w:t>erybiniai skrandžio polipai.</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Nedažn</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p</w:t>
      </w:r>
      <w:r w:rsidRPr="0035418B">
        <w:rPr>
          <w:rFonts w:ascii="Times New Roman" w:eastAsia="Times New Roman" w:hAnsi="Times New Roman"/>
          <w:lang w:eastAsia="sl-SI"/>
        </w:rPr>
        <w:t>ėdų ir kulkšnių patinimas</w:t>
      </w:r>
      <w:r>
        <w:rPr>
          <w:rFonts w:ascii="Times New Roman" w:eastAsia="Times New Roman" w:hAnsi="Times New Roman"/>
          <w:lang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m</w:t>
      </w:r>
      <w:r w:rsidRPr="0035418B">
        <w:rPr>
          <w:rFonts w:ascii="Times New Roman" w:eastAsia="Times New Roman" w:hAnsi="Times New Roman"/>
          <w:lang w:eastAsia="sl-SI"/>
        </w:rPr>
        <w:t>iego sutrikimas (nemiga)</w:t>
      </w:r>
      <w:r>
        <w:rPr>
          <w:rFonts w:ascii="Times New Roman" w:eastAsia="Times New Roman" w:hAnsi="Times New Roman"/>
          <w:lang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vaigulys, dilgčiojimo (smeigtukų ir adatų) pojūtis, mieguistumas</w:t>
      </w:r>
      <w:r>
        <w:rPr>
          <w:rFonts w:ascii="Times New Roman" w:eastAsia="Times New Roman" w:hAnsi="Times New Roman"/>
          <w:lang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ukimosi pojūtis (galvos sukimasis)</w:t>
      </w:r>
      <w:r>
        <w:rPr>
          <w:rFonts w:ascii="Times New Roman" w:eastAsia="Times New Roman" w:hAnsi="Times New Roman"/>
          <w:lang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b</w:t>
      </w:r>
      <w:r w:rsidRPr="0035418B">
        <w:rPr>
          <w:rFonts w:ascii="Times New Roman" w:eastAsia="Times New Roman" w:hAnsi="Times New Roman"/>
          <w:lang w:eastAsia="sl-SI"/>
        </w:rPr>
        <w:t>urnos džiūvimas</w:t>
      </w:r>
      <w:r>
        <w:rPr>
          <w:rFonts w:ascii="Times New Roman" w:eastAsia="Times New Roman" w:hAnsi="Times New Roman"/>
          <w:lang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k</w:t>
      </w:r>
      <w:r w:rsidRPr="0035418B">
        <w:rPr>
          <w:rFonts w:ascii="Times New Roman" w:eastAsia="Times New Roman" w:hAnsi="Times New Roman"/>
          <w:lang w:eastAsia="sl-SI"/>
        </w:rPr>
        <w:t>raujo tyrimo rodmenų, atspindinčių kepenų veiklą, pokytis</w:t>
      </w:r>
      <w:r>
        <w:rPr>
          <w:rFonts w:ascii="Times New Roman" w:eastAsia="Times New Roman" w:hAnsi="Times New Roman"/>
          <w:lang w:eastAsia="sl-SI"/>
        </w:rPr>
        <w:t>;</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o</w:t>
      </w:r>
      <w:r w:rsidRPr="0035418B">
        <w:rPr>
          <w:rFonts w:ascii="Times New Roman" w:eastAsia="Times New Roman" w:hAnsi="Times New Roman"/>
          <w:lang w:eastAsia="sl-SI"/>
        </w:rPr>
        <w:t>dos išbėrimas, gumbuotas išbėrimas (dilgėlinė) ir odos niež</w:t>
      </w:r>
      <w:r>
        <w:rPr>
          <w:rFonts w:ascii="Times New Roman" w:eastAsia="Times New Roman" w:hAnsi="Times New Roman"/>
          <w:lang w:eastAsia="sl-SI"/>
        </w:rPr>
        <w:t>ėjimas;</w:t>
      </w:r>
    </w:p>
    <w:p w:rsidR="00CD0F29" w:rsidRPr="0035418B" w:rsidRDefault="00CD0F29" w:rsidP="00CD0F29">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š</w:t>
      </w:r>
      <w:r w:rsidRPr="0035418B">
        <w:rPr>
          <w:rFonts w:ascii="Times New Roman" w:eastAsia="Times New Roman" w:hAnsi="Times New Roman"/>
          <w:lang w:eastAsia="sl-SI"/>
        </w:rPr>
        <w:t>launikaulio, riešo arba stuburo lūžiai (jeigu Escadra vartojamas didelėmis dozėmis ir ilgą laiką).</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Ret</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1000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k</w:t>
      </w:r>
      <w:r w:rsidRPr="0035418B">
        <w:rPr>
          <w:rFonts w:ascii="Times New Roman" w:eastAsia="Times New Roman" w:hAnsi="Times New Roman"/>
          <w:lang w:eastAsia="sl-SI"/>
        </w:rPr>
        <w:t>raujo sutrikimai, pvz., mažas baltųjų kraujo ląstelių kiekis (leukopenija) arba trombocitų kiekis (trombocitopenija). Dėl tokio poveikio gali pasireikšti silpnumas, kraujosruvos arba padidėti infekcijos atsiradimo rizika</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m</w:t>
      </w:r>
      <w:r w:rsidRPr="0035418B">
        <w:rPr>
          <w:rFonts w:ascii="Times New Roman" w:eastAsia="Times New Roman" w:hAnsi="Times New Roman"/>
          <w:lang w:eastAsia="sl-SI"/>
        </w:rPr>
        <w:t>ažas natrio kiekis kraujyje. Dėl tokio poveikio gali pasireikšti silpnumas, vėmimas ir diegliai</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b</w:t>
      </w:r>
      <w:r w:rsidRPr="0035418B">
        <w:rPr>
          <w:rFonts w:ascii="Times New Roman" w:eastAsia="Times New Roman" w:hAnsi="Times New Roman"/>
          <w:lang w:eastAsia="sl-SI"/>
        </w:rPr>
        <w:t>aimingo susijaudinimo, sumišimo ar depresijos pojūtis</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konio pojūčio pokytis</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r</w:t>
      </w:r>
      <w:r w:rsidRPr="0035418B">
        <w:rPr>
          <w:rFonts w:ascii="Times New Roman" w:eastAsia="Times New Roman" w:hAnsi="Times New Roman"/>
          <w:lang w:eastAsia="sl-SI"/>
        </w:rPr>
        <w:t>egos sutrikimai, pvz., neaiškus matomas vaizdas</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taiga atsiradęs švokštimas ar dusulys (bronchų spazmas)</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b</w:t>
      </w:r>
      <w:r w:rsidRPr="0035418B">
        <w:rPr>
          <w:rFonts w:ascii="Times New Roman" w:eastAsia="Times New Roman" w:hAnsi="Times New Roman"/>
          <w:lang w:eastAsia="sl-SI"/>
        </w:rPr>
        <w:t>urnos vidaus uždegimas</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i</w:t>
      </w:r>
      <w:r w:rsidRPr="0035418B">
        <w:rPr>
          <w:rFonts w:ascii="Times New Roman" w:eastAsia="Times New Roman" w:hAnsi="Times New Roman"/>
          <w:lang w:eastAsia="sl-SI"/>
        </w:rPr>
        <w:t>nfekcija, vadinama šerpėmis, galinti pažeisti žarnyną (ją sukelia grybelis)</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bookmarkStart w:id="10" w:name="_Hlk85367543"/>
      <w:r>
        <w:rPr>
          <w:rFonts w:ascii="Times New Roman" w:eastAsia="Times New Roman" w:hAnsi="Times New Roman"/>
          <w:lang w:eastAsia="sl-SI"/>
        </w:rPr>
        <w:t>k</w:t>
      </w:r>
      <w:r w:rsidRPr="0035418B">
        <w:rPr>
          <w:rFonts w:ascii="Times New Roman" w:eastAsia="Times New Roman" w:hAnsi="Times New Roman"/>
          <w:lang w:eastAsia="sl-SI"/>
        </w:rPr>
        <w:t>epenų sutrikimai, įskaitant geltą (galimas odos pageltimas, šlapimo patamsėjimas ir nuovargis)</w:t>
      </w:r>
      <w:r>
        <w:rPr>
          <w:rFonts w:ascii="Times New Roman" w:eastAsia="Times New Roman" w:hAnsi="Times New Roman"/>
          <w:lang w:eastAsia="sl-SI"/>
        </w:rPr>
        <w:t>;</w:t>
      </w:r>
    </w:p>
    <w:bookmarkEnd w:id="10"/>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p</w:t>
      </w:r>
      <w:r w:rsidRPr="0035418B">
        <w:rPr>
          <w:rFonts w:ascii="Times New Roman" w:eastAsia="Times New Roman" w:hAnsi="Times New Roman"/>
          <w:lang w:eastAsia="sl-SI"/>
        </w:rPr>
        <w:t>laukų nuslinkimas (alopecija)</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o</w:t>
      </w:r>
      <w:r w:rsidRPr="0035418B">
        <w:rPr>
          <w:rFonts w:ascii="Times New Roman" w:eastAsia="Times New Roman" w:hAnsi="Times New Roman"/>
          <w:lang w:eastAsia="sl-SI"/>
        </w:rPr>
        <w:t>dos išbėrimas dėl saulės spindulių poveikio</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ąnarių skausmas (artralgija) ar raumenų skausmas (mialgija)</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b</w:t>
      </w:r>
      <w:r w:rsidRPr="0035418B">
        <w:rPr>
          <w:rFonts w:ascii="Times New Roman" w:eastAsia="Times New Roman" w:hAnsi="Times New Roman"/>
          <w:lang w:eastAsia="sl-SI"/>
        </w:rPr>
        <w:t>loga bendroji savijauta ir energijos stoka</w:t>
      </w:r>
      <w:r>
        <w:rPr>
          <w:rFonts w:ascii="Times New Roman" w:eastAsia="Times New Roman" w:hAnsi="Times New Roman"/>
          <w:lang w:eastAsia="sl-SI"/>
        </w:rPr>
        <w:t>;</w:t>
      </w:r>
    </w:p>
    <w:p w:rsidR="00CD0F29" w:rsidRPr="0035418B" w:rsidRDefault="00CD0F29" w:rsidP="00CD0F29">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ustiprėjęs prakaitavimas.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Labai ret</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10 000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k</w:t>
      </w:r>
      <w:r w:rsidRPr="0035418B">
        <w:rPr>
          <w:rFonts w:ascii="Times New Roman" w:eastAsia="Times New Roman" w:hAnsi="Times New Roman"/>
          <w:lang w:eastAsia="sl-SI"/>
        </w:rPr>
        <w:t>raujo ląstelių kiekio pokytis, įskaitant baltųjų kraujo ląstelių nebuvimą (agranulocitozė), ir raudonųjų bei baltųjų kraujo ląstelių ir trombocitų kiekio sumažėjimas (pancitopenija)</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a</w:t>
      </w:r>
      <w:r w:rsidRPr="0035418B">
        <w:rPr>
          <w:rFonts w:ascii="Times New Roman" w:eastAsia="Times New Roman" w:hAnsi="Times New Roman"/>
          <w:lang w:eastAsia="sl-SI"/>
        </w:rPr>
        <w:t>gresyvumas</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n</w:t>
      </w:r>
      <w:r w:rsidRPr="0035418B">
        <w:rPr>
          <w:rFonts w:ascii="Times New Roman" w:eastAsia="Times New Roman" w:hAnsi="Times New Roman"/>
          <w:lang w:eastAsia="sl-SI"/>
        </w:rPr>
        <w:t>esamų daiktų matymas, jutimas ar girdėjimas (haliucinacijos)</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s</w:t>
      </w:r>
      <w:r w:rsidRPr="0035418B">
        <w:rPr>
          <w:rFonts w:ascii="Times New Roman" w:eastAsia="Times New Roman" w:hAnsi="Times New Roman"/>
          <w:lang w:eastAsia="sl-SI"/>
        </w:rPr>
        <w:t>unkus kepenų sutrikimas, sukeliantis kepenų nepakankamumą ir smegenų uždegimą</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bookmarkStart w:id="11" w:name="_Hlk85367609"/>
      <w:r>
        <w:rPr>
          <w:rFonts w:ascii="Times New Roman" w:eastAsia="Times New Roman" w:hAnsi="Times New Roman"/>
          <w:lang w:eastAsia="sl-SI"/>
        </w:rPr>
        <w:t>s</w:t>
      </w:r>
      <w:r w:rsidRPr="0035418B">
        <w:rPr>
          <w:rFonts w:ascii="Times New Roman" w:eastAsia="Times New Roman" w:hAnsi="Times New Roman"/>
          <w:lang w:eastAsia="sl-SI"/>
        </w:rPr>
        <w:t xml:space="preserve">taiga atsiradęs sunkus odos išbėrimas, pūslėjimas ar lupimasis, tuo pat metu gali pasireikšti karščiavimas ir sąnarių skausmas (daugiaformė raudonė (eritema), Stivenso </w:t>
      </w:r>
      <w:r w:rsidRPr="0035418B">
        <w:rPr>
          <w:rFonts w:ascii="Times New Roman" w:eastAsia="Times New Roman" w:hAnsi="Times New Roman"/>
          <w:lang w:eastAsia="sl-SI"/>
        </w:rPr>
        <w:sym w:font="Symbol" w:char="002D"/>
      </w:r>
      <w:r w:rsidRPr="0035418B">
        <w:rPr>
          <w:rFonts w:ascii="Times New Roman" w:eastAsia="Times New Roman" w:hAnsi="Times New Roman"/>
          <w:lang w:eastAsia="sl-SI"/>
        </w:rPr>
        <w:t xml:space="preserve"> Džonsono (</w:t>
      </w:r>
      <w:r w:rsidRPr="0035418B">
        <w:rPr>
          <w:rFonts w:ascii="Times New Roman" w:eastAsia="Times New Roman" w:hAnsi="Times New Roman"/>
          <w:i/>
          <w:lang w:eastAsia="sl-SI"/>
        </w:rPr>
        <w:t>Stevens-Johnson</w:t>
      </w:r>
      <w:r w:rsidRPr="0035418B">
        <w:rPr>
          <w:rFonts w:ascii="Times New Roman" w:eastAsia="Times New Roman" w:hAnsi="Times New Roman"/>
          <w:lang w:eastAsia="sl-SI"/>
        </w:rPr>
        <w:t>) sindromas, toksinė epidermio nekrolizė)</w:t>
      </w:r>
      <w:r>
        <w:rPr>
          <w:rFonts w:ascii="Times New Roman" w:eastAsia="Times New Roman" w:hAnsi="Times New Roman"/>
          <w:lang w:eastAsia="sl-SI"/>
        </w:rPr>
        <w:t>;</w:t>
      </w:r>
    </w:p>
    <w:bookmarkEnd w:id="11"/>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r</w:t>
      </w:r>
      <w:r w:rsidRPr="0035418B">
        <w:rPr>
          <w:rFonts w:ascii="Times New Roman" w:eastAsia="Times New Roman" w:hAnsi="Times New Roman"/>
          <w:lang w:eastAsia="sl-SI"/>
        </w:rPr>
        <w:t>aumenų silpnumas</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unkus kepenų sutrikimas</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k</w:t>
      </w:r>
      <w:r w:rsidRPr="0035418B">
        <w:rPr>
          <w:rFonts w:ascii="Times New Roman" w:eastAsia="Times New Roman" w:hAnsi="Times New Roman"/>
          <w:lang w:eastAsia="sl-SI"/>
        </w:rPr>
        <w:t>rūtų padidėjimas vyrams.</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Dažnis nežinomas</w:t>
      </w:r>
      <w:r w:rsidRPr="0035418B">
        <w:rPr>
          <w:rFonts w:ascii="Times New Roman" w:eastAsia="Times New Roman" w:hAnsi="Times New Roman"/>
          <w:lang w:eastAsia="sl-SI"/>
        </w:rPr>
        <w:t xml:space="preserve"> (dažnis negali būti </w:t>
      </w:r>
      <w:r>
        <w:rPr>
          <w:rFonts w:ascii="Times New Roman" w:eastAsia="Times New Roman" w:hAnsi="Times New Roman"/>
          <w:lang w:eastAsia="sl-SI"/>
        </w:rPr>
        <w:t>apskaičiuotas</w:t>
      </w:r>
      <w:r w:rsidRPr="0035418B">
        <w:rPr>
          <w:rFonts w:ascii="Times New Roman" w:eastAsia="Times New Roman" w:hAnsi="Times New Roman"/>
          <w:lang w:eastAsia="sl-SI"/>
        </w:rPr>
        <w:t xml:space="preserve"> pagal turimus duomenis)</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j</w:t>
      </w:r>
      <w:r w:rsidRPr="0035418B">
        <w:rPr>
          <w:rFonts w:ascii="Times New Roman" w:eastAsia="Times New Roman" w:hAnsi="Times New Roman"/>
          <w:lang w:eastAsia="sl-SI"/>
        </w:rPr>
        <w:t>ei Escadra vartojate daugiau nei 3 mėnesius, galimas magnio kiekio sumažėjimas kraujyje. Magnio kiekio sumažėjimas pasireiškia nuovargiu, nevalingais raumenų susitraukimais, dezorientacija, konvulsijomis, galvos svaigimu, padažnėjusiu širdies ritmu. Jei pastebėjote bet kurį iš išvardytų simptomų, nedelsiant kreipkitės į gydytoją. Dėl žemo magnio kiekio kraujyje gali sumažėti kalio ir kalcio kiekis. Jūsų gydytojas gali paskirti reguliariai atlikti kraujo tyrimus magnio kiekio stebėjimui</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ž</w:t>
      </w:r>
      <w:r w:rsidRPr="0035418B">
        <w:rPr>
          <w:rFonts w:ascii="Times New Roman" w:eastAsia="Times New Roman" w:hAnsi="Times New Roman"/>
          <w:lang w:eastAsia="sl-SI"/>
        </w:rPr>
        <w:t>arnų uždegimas (sukeliantis viduriavimą)</w:t>
      </w:r>
      <w:r>
        <w:rPr>
          <w:rFonts w:ascii="Times New Roman" w:eastAsia="Times New Roman" w:hAnsi="Times New Roman"/>
          <w:lang w:eastAsia="sl-SI"/>
        </w:rPr>
        <w:t>;</w:t>
      </w:r>
    </w:p>
    <w:p w:rsidR="00CD0F29" w:rsidRPr="0035418B" w:rsidRDefault="00CD0F29" w:rsidP="00CD0F29">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i</w:t>
      </w:r>
      <w:r w:rsidRPr="0035418B">
        <w:rPr>
          <w:rFonts w:ascii="Times New Roman" w:eastAsia="Times New Roman" w:hAnsi="Times New Roman"/>
          <w:lang w:eastAsia="sl-SI"/>
        </w:rPr>
        <w:t>šbėrimas, galintis pasireikšti kartu su sąnarių skausmu.</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Labai retais atvejais Escadra gali pažeisti baltąsias kraujo ląsteles ir sukelti imuninės sistemos susilpnėjimą. Jei pasireiškia infekcija su tokiais simptomais kaip karščiavimas su </w:t>
      </w:r>
      <w:r w:rsidRPr="0035418B">
        <w:rPr>
          <w:rFonts w:ascii="Times New Roman" w:eastAsia="Times New Roman" w:hAnsi="Times New Roman"/>
          <w:b/>
          <w:lang w:eastAsia="sl-SI"/>
        </w:rPr>
        <w:t xml:space="preserve">labai </w:t>
      </w:r>
      <w:r w:rsidRPr="0035418B">
        <w:rPr>
          <w:rFonts w:ascii="Times New Roman" w:eastAsia="Times New Roman" w:hAnsi="Times New Roman"/>
          <w:lang w:eastAsia="sl-SI"/>
        </w:rPr>
        <w:t>pablogėjusia bendrąja būkle arba karščiavimas su lokalios infekcijos simptomais, pvz., kaklo, ryklės ar burnos skausmu ar šlapinimosi pasunkėjimu, kiek įmanoma greičiau turite kreiptis į gydytoją, kad kraujo tyrimu būtų galima nustatyti, ar neišnyko baltieji kraujo kūneliai (neatsirado agranulocitozė). Tuo atveju labai svarbu pasakyti apie vartojamą vaistą.</w:t>
      </w:r>
    </w:p>
    <w:p w:rsidR="00CD0F29" w:rsidRPr="0035418B" w:rsidRDefault="00CD0F29" w:rsidP="00CD0F29">
      <w:pPr>
        <w:widowControl w:val="0"/>
        <w:autoSpaceDE w:val="0"/>
        <w:autoSpaceDN w:val="0"/>
        <w:adjustRightInd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noProof/>
          <w:lang w:eastAsia="sl-SI"/>
        </w:rPr>
        <w:t>Pranešimas apie šalutinį poveikį</w:t>
      </w:r>
    </w:p>
    <w:p w:rsidR="00CD0F29" w:rsidRPr="0035418B" w:rsidRDefault="00CD0F29" w:rsidP="00CD0F29">
      <w:pPr>
        <w:widowControl w:val="0"/>
        <w:spacing w:after="0" w:line="240" w:lineRule="auto"/>
        <w:ind w:right="-449"/>
        <w:rPr>
          <w:rFonts w:ascii="Times New Roman" w:eastAsia="Times New Roman" w:hAnsi="Times New Roman"/>
          <w:lang w:eastAsia="sl-SI"/>
        </w:rPr>
      </w:pPr>
      <w:r w:rsidRPr="0035418B">
        <w:rPr>
          <w:rFonts w:ascii="Times New Roman" w:eastAsia="Times New Roman" w:hAnsi="Times New Roman"/>
          <w:noProof/>
          <w:lang w:eastAsia="sl-SI"/>
        </w:rPr>
        <w:t xml:space="preserve">Jeigu pasireiškė šalutinis poveikis, įskaitant šiame lapelyje nenurodytą, pasakykite gydytojui arba vaistininkui. </w:t>
      </w:r>
      <w:r w:rsidRPr="00741555">
        <w:rPr>
          <w:rFonts w:ascii="Times New Roman" w:eastAsia="Times New Roman" w:hAnsi="Times New Roman"/>
          <w:noProof/>
          <w:lang w:eastAsia="sl-SI"/>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1039DB">
        <w:rPr>
          <w:rFonts w:ascii="Times New Roman" w:eastAsia="Times New Roman" w:hAnsi="Times New Roman"/>
          <w:noProof/>
          <w:color w:val="0000FF"/>
          <w:lang w:eastAsia="sl-SI"/>
        </w:rPr>
        <w:t xml:space="preserve">https://vapris.vvkt.lt/vvkt-web/public/nrv </w:t>
      </w:r>
      <w:r w:rsidRPr="00741555">
        <w:rPr>
          <w:rFonts w:ascii="Times New Roman" w:eastAsia="Times New Roman" w:hAnsi="Times New Roman"/>
          <w:noProof/>
          <w:lang w:eastAsia="sl-SI"/>
        </w:rPr>
        <w:t xml:space="preserve">arba užpildant Sveikatos priežiūros ar farmacijos specialisto pranešimo apie įtariamą nepageidaujamą reakciją formą, kuri skelbiama </w:t>
      </w:r>
      <w:r w:rsidRPr="001039DB">
        <w:rPr>
          <w:rFonts w:ascii="Times New Roman" w:eastAsia="Times New Roman" w:hAnsi="Times New Roman"/>
          <w:noProof/>
          <w:color w:val="0000FF"/>
          <w:lang w:eastAsia="sl-SI"/>
        </w:rPr>
        <w:t>https://www.vvkt.lt/index.php?4004286486</w:t>
      </w:r>
      <w:r w:rsidRPr="00741555">
        <w:rPr>
          <w:rFonts w:ascii="Times New Roman" w:eastAsia="Times New Roman" w:hAnsi="Times New Roman"/>
          <w:noProof/>
          <w:lang w:eastAsia="sl-SI"/>
        </w:rPr>
        <w:t xml:space="preserve">, ir atsiunčiant elektroniniu paštu (adresu </w:t>
      </w:r>
      <w:r w:rsidRPr="001039DB">
        <w:rPr>
          <w:rFonts w:ascii="Times New Roman" w:eastAsia="Times New Roman" w:hAnsi="Times New Roman"/>
          <w:noProof/>
          <w:color w:val="0000FF"/>
          <w:lang w:eastAsia="sl-SI"/>
        </w:rPr>
        <w:t>NepageidaujamaR@vvkt.lt</w:t>
      </w:r>
      <w:r w:rsidRPr="00741555">
        <w:rPr>
          <w:rFonts w:ascii="Times New Roman" w:eastAsia="Times New Roman" w:hAnsi="Times New Roman"/>
          <w:noProof/>
          <w:lang w:eastAsia="sl-SI"/>
        </w:rPr>
        <w:t>) arba nemokamu telefonu 8 800 73 568.</w:t>
      </w:r>
      <w:r w:rsidRPr="0035418B">
        <w:rPr>
          <w:rFonts w:ascii="Times New Roman" w:eastAsia="Times New Roman" w:hAnsi="Times New Roman"/>
          <w:noProof/>
          <w:lang w:eastAsia="sl-SI"/>
        </w:rPr>
        <w:t>Pranešdami apie šalutinį poveikį galite mums padėti gauti daugiau informacijos apie šio vaisto saugumą.</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outlineLvl w:val="1"/>
        <w:rPr>
          <w:rFonts w:ascii="Times New Roman" w:eastAsia="Times New Roman" w:hAnsi="Times New Roman"/>
          <w:b/>
          <w:lang w:eastAsia="sl-SI"/>
        </w:rPr>
      </w:pPr>
      <w:bookmarkStart w:id="12" w:name="_Toc129243268"/>
      <w:bookmarkStart w:id="13" w:name="_Toc129243143"/>
      <w:r w:rsidRPr="0035418B">
        <w:rPr>
          <w:rFonts w:ascii="Times New Roman" w:eastAsia="Times New Roman" w:hAnsi="Times New Roman"/>
          <w:b/>
          <w:lang w:eastAsia="sl-SI"/>
        </w:rPr>
        <w:t>5.</w:t>
      </w:r>
      <w:r w:rsidRPr="0035418B">
        <w:rPr>
          <w:rFonts w:ascii="Times New Roman" w:eastAsia="Times New Roman" w:hAnsi="Times New Roman"/>
          <w:b/>
          <w:lang w:eastAsia="sl-SI"/>
        </w:rPr>
        <w:tab/>
        <w:t xml:space="preserve">Kaip laikyti </w:t>
      </w:r>
      <w:bookmarkEnd w:id="12"/>
      <w:bookmarkEnd w:id="13"/>
      <w:r w:rsidRPr="0035418B">
        <w:rPr>
          <w:rFonts w:ascii="Times New Roman" w:eastAsia="Times New Roman" w:hAnsi="Times New Roman"/>
          <w:b/>
          <w:lang w:eastAsia="sl-SI"/>
        </w:rPr>
        <w:t>Escadra</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Šį vaistą laikykite vaikams nepastebimoje ir nepasiekiamoje vietoje.</w:t>
      </w:r>
    </w:p>
    <w:p w:rsidR="00CD0F29" w:rsidRPr="0035418B" w:rsidRDefault="00CD0F29" w:rsidP="00CD0F29">
      <w:pPr>
        <w:widowControl w:val="0"/>
        <w:spacing w:after="0" w:line="240" w:lineRule="auto"/>
        <w:ind w:left="567" w:hanging="567"/>
        <w:outlineLvl w:val="0"/>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Ant dėžutės, tablečių talpyklės etiketės po „Tinka iki“ ir lizdinės plokštelės po „EXP“ nurodytam tinkamumo laikui pasibaigus, šio vaisto vartoti negalima. Vaistas tinkamas vartoti iki paskutinės nurodyto mėnesio dienos.</w:t>
      </w:r>
    </w:p>
    <w:p w:rsidR="00CD0F29" w:rsidRPr="0035418B" w:rsidRDefault="00CD0F29" w:rsidP="00CD0F29">
      <w:pPr>
        <w:widowControl w:val="0"/>
        <w:spacing w:after="0" w:line="240" w:lineRule="auto"/>
        <w:ind w:left="567" w:hanging="567"/>
        <w:outlineLvl w:val="0"/>
        <w:rPr>
          <w:rFonts w:ascii="Times New Roman" w:eastAsia="Times New Roman" w:hAnsi="Times New Roman"/>
          <w:lang w:eastAsia="sl-SI"/>
        </w:rPr>
      </w:pPr>
    </w:p>
    <w:p w:rsidR="00CD0F29" w:rsidRPr="0035418B" w:rsidRDefault="00CD0F29" w:rsidP="00CD0F29">
      <w:pPr>
        <w:widowControl w:val="0"/>
        <w:spacing w:after="0" w:line="240" w:lineRule="auto"/>
        <w:outlineLvl w:val="0"/>
        <w:rPr>
          <w:rFonts w:ascii="Times New Roman" w:eastAsia="Times New Roman" w:hAnsi="Times New Roman"/>
          <w:u w:val="single"/>
          <w:lang w:eastAsia="sl-SI"/>
        </w:rPr>
      </w:pPr>
      <w:r w:rsidRPr="0035418B">
        <w:rPr>
          <w:rFonts w:ascii="Times New Roman" w:eastAsia="Times New Roman" w:hAnsi="Times New Roman"/>
          <w:u w:val="single"/>
        </w:rPr>
        <w:t>OPA/Al/PE + sausiklio/Al + PE folijos lizdinės plokštelės</w:t>
      </w:r>
    </w:p>
    <w:p w:rsidR="00CD0F29" w:rsidRPr="0035418B" w:rsidRDefault="00CD0F29" w:rsidP="00CD0F29">
      <w:pPr>
        <w:widowControl w:val="0"/>
        <w:spacing w:after="0" w:line="240" w:lineRule="auto"/>
        <w:outlineLvl w:val="0"/>
        <w:rPr>
          <w:rFonts w:ascii="Times New Roman" w:eastAsia="Times New Roman" w:hAnsi="Times New Roman"/>
          <w:lang w:eastAsia="sl-SI"/>
        </w:rPr>
      </w:pPr>
      <w:r w:rsidRPr="0035418B">
        <w:rPr>
          <w:rFonts w:ascii="Times New Roman" w:eastAsia="Times New Roman" w:hAnsi="Times New Roman"/>
          <w:lang w:eastAsia="sl-SI"/>
        </w:rPr>
        <w:t>Laikyti gamintojo pakuotėje, kad preparatas būtų apsaugotas nuo drėgmės.</w:t>
      </w:r>
    </w:p>
    <w:p w:rsidR="00CD0F29" w:rsidRPr="0035418B" w:rsidRDefault="00CD0F29" w:rsidP="00CD0F29">
      <w:pPr>
        <w:widowControl w:val="0"/>
        <w:spacing w:after="0" w:line="240" w:lineRule="auto"/>
        <w:outlineLvl w:val="0"/>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rPr>
          <w:rFonts w:ascii="Times New Roman" w:eastAsia="Times New Roman" w:hAnsi="Times New Roman"/>
          <w:i/>
          <w:color w:val="000000"/>
          <w:u w:val="single"/>
        </w:rPr>
      </w:pPr>
      <w:r w:rsidRPr="0035418B">
        <w:rPr>
          <w:rFonts w:ascii="Times New Roman" w:eastAsia="Times New Roman" w:hAnsi="Times New Roman"/>
          <w:color w:val="000000"/>
          <w:u w:val="single"/>
        </w:rPr>
        <w:t>OPA/Al/PVC/Al</w:t>
      </w:r>
      <w:r w:rsidRPr="0035418B">
        <w:rPr>
          <w:rFonts w:ascii="Times New Roman" w:eastAsia="Times New Roman" w:hAnsi="Times New Roman"/>
          <w:i/>
          <w:color w:val="000000"/>
          <w:u w:val="single"/>
        </w:rPr>
        <w:t xml:space="preserve"> </w:t>
      </w:r>
      <w:r w:rsidRPr="0035418B">
        <w:rPr>
          <w:rFonts w:ascii="Times New Roman" w:eastAsia="Times New Roman" w:hAnsi="Times New Roman"/>
          <w:u w:val="single"/>
        </w:rPr>
        <w:t>folijos lizdinės plokštelės</w:t>
      </w:r>
    </w:p>
    <w:p w:rsidR="00CD0F29" w:rsidRPr="0035418B" w:rsidRDefault="00CD0F29" w:rsidP="00CD0F29">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Laikyti ne aukštesnėje kaip 30 </w:t>
      </w:r>
      <w:r w:rsidRPr="0035418B">
        <w:rPr>
          <w:rFonts w:ascii="Times New Roman" w:eastAsia="Times New Roman" w:hAnsi="Times New Roman"/>
          <w:lang w:eastAsia="sl-SI"/>
        </w:rPr>
        <w:sym w:font="Symbol" w:char="00B0"/>
      </w:r>
      <w:r w:rsidRPr="0035418B">
        <w:rPr>
          <w:rFonts w:ascii="Times New Roman" w:eastAsia="Times New Roman" w:hAnsi="Times New Roman"/>
          <w:lang w:eastAsia="sl-SI"/>
        </w:rPr>
        <w:t>C temperatūroje.</w:t>
      </w:r>
    </w:p>
    <w:p w:rsidR="00CD0F29" w:rsidRPr="0035418B" w:rsidRDefault="00CD0F29" w:rsidP="00CD0F29">
      <w:pPr>
        <w:widowControl w:val="0"/>
        <w:spacing w:after="0" w:line="240" w:lineRule="auto"/>
        <w:outlineLvl w:val="0"/>
        <w:rPr>
          <w:rFonts w:ascii="Times New Roman" w:eastAsia="Times New Roman" w:hAnsi="Times New Roman"/>
          <w:lang w:eastAsia="sl-SI"/>
        </w:rPr>
      </w:pPr>
      <w:r w:rsidRPr="0035418B">
        <w:rPr>
          <w:rFonts w:ascii="Times New Roman" w:eastAsia="Times New Roman" w:hAnsi="Times New Roman"/>
          <w:lang w:eastAsia="sl-SI"/>
        </w:rPr>
        <w:t>Laikyti gamintojo pakuotėje, kad preparatas būtų apsaugotas nuo drėgmės.</w:t>
      </w:r>
    </w:p>
    <w:p w:rsidR="00CD0F29" w:rsidRPr="0035418B" w:rsidRDefault="00CD0F29" w:rsidP="00CD0F29">
      <w:pPr>
        <w:widowControl w:val="0"/>
        <w:spacing w:after="0" w:line="240" w:lineRule="auto"/>
        <w:outlineLvl w:val="0"/>
        <w:rPr>
          <w:rFonts w:ascii="Times New Roman" w:eastAsia="Times New Roman" w:hAnsi="Times New Roman"/>
          <w:lang w:eastAsia="sl-SI"/>
        </w:rPr>
      </w:pPr>
    </w:p>
    <w:p w:rsidR="00CD0F29" w:rsidRPr="0035418B" w:rsidRDefault="00CD0F29" w:rsidP="00CD0F29">
      <w:pPr>
        <w:widowControl w:val="0"/>
        <w:spacing w:after="0" w:line="240" w:lineRule="auto"/>
        <w:outlineLvl w:val="0"/>
        <w:rPr>
          <w:rFonts w:ascii="Times New Roman" w:eastAsia="Times New Roman" w:hAnsi="Times New Roman"/>
          <w:u w:val="single"/>
          <w:lang w:eastAsia="sl-SI"/>
        </w:rPr>
      </w:pPr>
      <w:r w:rsidRPr="0035418B">
        <w:rPr>
          <w:rFonts w:ascii="Times New Roman" w:eastAsia="Times New Roman" w:hAnsi="Times New Roman"/>
          <w:u w:val="single"/>
          <w:lang w:eastAsia="sl-SI"/>
        </w:rPr>
        <w:t>DTPE tablečių talpyklė</w:t>
      </w:r>
    </w:p>
    <w:p w:rsidR="00CD0F29" w:rsidRPr="0035418B" w:rsidRDefault="00CD0F29" w:rsidP="00CD0F29">
      <w:pPr>
        <w:widowControl w:val="0"/>
        <w:spacing w:after="0" w:line="240" w:lineRule="auto"/>
        <w:outlineLvl w:val="0"/>
        <w:rPr>
          <w:rFonts w:ascii="Times New Roman" w:eastAsia="Times New Roman" w:hAnsi="Times New Roman"/>
          <w:lang w:eastAsia="sl-SI"/>
        </w:rPr>
      </w:pPr>
      <w:r w:rsidRPr="0035418B">
        <w:rPr>
          <w:rFonts w:ascii="Times New Roman" w:eastAsia="Times New Roman" w:hAnsi="Times New Roman"/>
          <w:lang w:eastAsia="sl-SI"/>
        </w:rPr>
        <w:t>Talpyklę laikyti sandarią, kad preparatas būtų apsaugotas nuo drėgmės.</w:t>
      </w:r>
    </w:p>
    <w:p w:rsidR="00CD0F29" w:rsidRPr="0035418B" w:rsidRDefault="00CD0F29" w:rsidP="00CD0F29">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val="sl-SI" w:eastAsia="sl-SI"/>
        </w:rPr>
        <w:t>Po pirmojo atidarymo, preparatą reikia suvartoti per 6 mėnesius.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Vaistų negalima išmesti į kanalizaciją arba su buitinėmis atliekomis. Kaip išmesti nereikalingus vaistus, klauskite vaistininko. Šios priemonės padės apsaugoti aplinką.</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outlineLvl w:val="1"/>
        <w:rPr>
          <w:rFonts w:ascii="Times New Roman" w:eastAsia="Times New Roman" w:hAnsi="Times New Roman"/>
          <w:b/>
          <w:lang w:eastAsia="sl-SI"/>
        </w:rPr>
      </w:pPr>
      <w:bookmarkStart w:id="14" w:name="_Toc129243269"/>
      <w:bookmarkStart w:id="15" w:name="_Toc129243144"/>
      <w:r w:rsidRPr="0035418B">
        <w:rPr>
          <w:rFonts w:ascii="Times New Roman" w:eastAsia="Times New Roman" w:hAnsi="Times New Roman"/>
          <w:b/>
          <w:lang w:eastAsia="sl-SI"/>
        </w:rPr>
        <w:t>6.</w:t>
      </w:r>
      <w:r w:rsidRPr="0035418B">
        <w:rPr>
          <w:rFonts w:ascii="Times New Roman" w:eastAsia="Times New Roman" w:hAnsi="Times New Roman"/>
          <w:b/>
          <w:lang w:eastAsia="sl-SI"/>
        </w:rPr>
        <w:tab/>
        <w:t>Pakuotės turinys ir kita informacija</w:t>
      </w:r>
      <w:bookmarkEnd w:id="14"/>
      <w:bookmarkEnd w:id="15"/>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 sudėtis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numPr>
          <w:ilvl w:val="0"/>
          <w:numId w:val="10"/>
        </w:numPr>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Veiklioji medžiaga yra ezomeprazolas. Kiekvienoje skrandyje neirioje kietojoje kapsulėje yra 20 mg arba 40 mg ezomeprazolo (magnio druskos dihidrato pavidalu).</w:t>
      </w:r>
    </w:p>
    <w:p w:rsidR="00CD0F29" w:rsidRPr="0035418B" w:rsidRDefault="00CD0F29" w:rsidP="00CD0F29">
      <w:pPr>
        <w:widowControl w:val="0"/>
        <w:numPr>
          <w:ilvl w:val="0"/>
          <w:numId w:val="10"/>
        </w:numPr>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Pagalbinės medžiagos. </w:t>
      </w:r>
      <w:r w:rsidRPr="0035418B">
        <w:rPr>
          <w:rFonts w:ascii="Times New Roman" w:eastAsia="Times New Roman" w:hAnsi="Times New Roman"/>
          <w:u w:val="single"/>
          <w:lang w:eastAsia="sl-SI"/>
        </w:rPr>
        <w:t>Kapsulės turinys (granulės):</w:t>
      </w:r>
      <w:r w:rsidRPr="0035418B">
        <w:rPr>
          <w:rFonts w:ascii="Times New Roman" w:eastAsia="Times New Roman" w:hAnsi="Times New Roman"/>
          <w:lang w:eastAsia="sl-SI"/>
        </w:rPr>
        <w:t xml:space="preserve"> sacharozė, k</w:t>
      </w:r>
      <w:r w:rsidRPr="0035418B">
        <w:rPr>
          <w:rFonts w:ascii="Times New Roman" w:eastAsia="Times New Roman" w:hAnsi="Times New Roman"/>
        </w:rPr>
        <w:t xml:space="preserve">ukurūzų krakmolas, povidonas K30, natrio laurilsulfatas, polivinilo alkoholis, titano dioksidas (E171), makrogolis 3000, makrogolis 6000, talkas, sunkusis magnio subkarbonatas, metakrilo rūgšties ir etilakrilato 1:1 </w:t>
      </w:r>
      <w:r w:rsidRPr="0035418B">
        <w:rPr>
          <w:rFonts w:ascii="Times New Roman" w:eastAsia="Times New Roman" w:hAnsi="Times New Roman"/>
          <w:sz w:val="24"/>
          <w:szCs w:val="20"/>
          <w:lang w:val="sl-SI" w:eastAsia="sl-SI"/>
        </w:rPr>
        <w:t>kopolimeras</w:t>
      </w:r>
      <w:r w:rsidRPr="0035418B">
        <w:rPr>
          <w:rFonts w:ascii="Times New Roman" w:eastAsia="Times New Roman" w:hAnsi="Times New Roman"/>
        </w:rPr>
        <w:t xml:space="preserve"> bei polisorbatas 80. </w:t>
      </w:r>
      <w:r w:rsidRPr="0035418B">
        <w:rPr>
          <w:rFonts w:ascii="Times New Roman" w:eastAsia="Times New Roman" w:hAnsi="Times New Roman"/>
          <w:u w:val="single"/>
        </w:rPr>
        <w:t>Kapsulės apvalkalas:</w:t>
      </w:r>
      <w:r w:rsidRPr="0035418B">
        <w:rPr>
          <w:rFonts w:ascii="Times New Roman" w:eastAsia="Times New Roman" w:hAnsi="Times New Roman"/>
        </w:rPr>
        <w:t xml:space="preserve"> ž</w:t>
      </w:r>
      <w:r w:rsidRPr="0035418B">
        <w:rPr>
          <w:rFonts w:ascii="Times New Roman" w:eastAsia="Times New Roman" w:hAnsi="Times New Roman"/>
          <w:lang w:eastAsia="sl-SI"/>
        </w:rPr>
        <w:t>elatina, titano dioksidas (E171) bei raudonasis geležies oksidas (E172). Žr. 2 skyrių „Escadra sudėtyje yra sacharozės</w:t>
      </w:r>
      <w:r>
        <w:rPr>
          <w:rFonts w:ascii="Times New Roman" w:eastAsia="Times New Roman" w:hAnsi="Times New Roman"/>
          <w:lang w:eastAsia="sl-SI"/>
        </w:rPr>
        <w:t xml:space="preserve"> ir natrio</w:t>
      </w:r>
      <w:r w:rsidRPr="0035418B">
        <w:rPr>
          <w:rFonts w:ascii="Times New Roman" w:eastAsia="Times New Roman" w:hAnsi="Times New Roman"/>
          <w:lang w:eastAsia="sl-SI"/>
        </w:rPr>
        <w:t>“.</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 išvaizda ir kiekis pakuotėje</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rPr>
          <w:rFonts w:ascii="Times New Roman" w:eastAsia="Times New Roman" w:hAnsi="Times New Roman"/>
        </w:rPr>
      </w:pPr>
      <w:r w:rsidRPr="0035418B">
        <w:rPr>
          <w:rFonts w:ascii="Times New Roman" w:eastAsia="Times New Roman" w:hAnsi="Times New Roman"/>
        </w:rPr>
        <w:t>20 mg skrandyje neirios kietosios kapsulės korpusas ir dangtelis yra šviesiai rožiniai. Kapsulės turinys – baltos arba beveik baltos granulės.</w:t>
      </w:r>
    </w:p>
    <w:p w:rsidR="00CD0F29" w:rsidRPr="0035418B" w:rsidRDefault="00CD0F29" w:rsidP="00CD0F29">
      <w:pPr>
        <w:widowControl w:val="0"/>
        <w:tabs>
          <w:tab w:val="left" w:pos="567"/>
        </w:tabs>
        <w:spacing w:after="0" w:line="240" w:lineRule="auto"/>
        <w:rPr>
          <w:rFonts w:ascii="Times New Roman" w:eastAsia="Times New Roman" w:hAnsi="Times New Roman"/>
        </w:rPr>
      </w:pPr>
      <w:r w:rsidRPr="0035418B">
        <w:rPr>
          <w:rFonts w:ascii="Times New Roman" w:eastAsia="Times New Roman" w:hAnsi="Times New Roman"/>
        </w:rPr>
        <w:t>40 mg skrandyje neirios kietosios kapsulės korpusas ir dangtelis yra rožiniai. Kapsulės turinys – baltos arba beveik baltos granulės.</w:t>
      </w:r>
    </w:p>
    <w:p w:rsidR="00CD0F29" w:rsidRPr="0035418B" w:rsidRDefault="00CD0F29" w:rsidP="00CD0F29">
      <w:pPr>
        <w:widowControl w:val="0"/>
        <w:numPr>
          <w:ilvl w:val="12"/>
          <w:numId w:val="0"/>
        </w:numPr>
        <w:tabs>
          <w:tab w:val="left" w:pos="8505"/>
        </w:tabs>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Escadra tiekiamas lizdinėmis plokštelėmis po 7, 14, 15, 28, 30, 50, 56, 60, 90, 98 arba 100 kapsulių ir plastiko talpyklėmis po 98 kapsules.</w:t>
      </w:r>
      <w:r w:rsidRPr="0035418B">
        <w:rPr>
          <w:rFonts w:ascii="Times New Roman" w:eastAsia="Times New Roman" w:hAnsi="Times New Roman"/>
          <w:snapToGrid w:val="0"/>
        </w:rPr>
        <w:t xml:space="preserve"> </w:t>
      </w:r>
      <w:r w:rsidRPr="0035418B">
        <w:rPr>
          <w:rFonts w:ascii="Times New Roman" w:eastAsia="Times New Roman" w:hAnsi="Times New Roman"/>
          <w:lang w:eastAsia="sl-SI"/>
        </w:rPr>
        <w:t>Talpyklėje esanti sausiklio kapsulė nevalgoma.</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Gali būti tiekiamos ne visų dydžių pakuotės.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Registruotojas ir gamintojas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K</w:t>
      </w:r>
      <w:r>
        <w:rPr>
          <w:rFonts w:ascii="Times New Roman" w:eastAsia="Times New Roman" w:hAnsi="Times New Roman"/>
          <w:lang w:eastAsia="sl-SI"/>
        </w:rPr>
        <w:t>RKA</w:t>
      </w:r>
      <w:r w:rsidRPr="0035418B">
        <w:rPr>
          <w:rFonts w:ascii="Times New Roman" w:eastAsia="Times New Roman" w:hAnsi="Times New Roman"/>
          <w:lang w:eastAsia="sl-SI"/>
        </w:rPr>
        <w:t>, d.d., Novo mesto</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Šmarješka cesta 6</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8501 Novo mesto</w:t>
      </w: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Slovėnija</w:t>
      </w:r>
    </w:p>
    <w:p w:rsidR="00CD0F29" w:rsidRPr="0035418B" w:rsidRDefault="00CD0F29" w:rsidP="00CD0F29">
      <w:pPr>
        <w:widowControl w:val="0"/>
        <w:spacing w:after="0" w:line="240" w:lineRule="auto"/>
        <w:rPr>
          <w:rFonts w:ascii="Times New Roman" w:eastAsia="Times New Roman" w:hAnsi="Times New Roman"/>
          <w:b/>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apie šį vaistą norite sužinoti daugiau, kreipkitės į vietinį registruotojo atstovą.</w:t>
      </w:r>
    </w:p>
    <w:p w:rsidR="00CD0F29" w:rsidRPr="0035418B" w:rsidRDefault="00CD0F29" w:rsidP="00CD0F29">
      <w:pPr>
        <w:widowControl w:val="0"/>
        <w:spacing w:after="0" w:line="240" w:lineRule="auto"/>
        <w:rPr>
          <w:rFonts w:ascii="Times New Roman" w:eastAsia="Times New Roman" w:hAnsi="Times New Roman"/>
          <w:lang w:eastAsia="sl-SI"/>
        </w:rPr>
      </w:pPr>
    </w:p>
    <w:tbl>
      <w:tblPr>
        <w:tblW w:w="4680" w:type="dxa"/>
        <w:tblInd w:w="-34" w:type="dxa"/>
        <w:tblLayout w:type="fixed"/>
        <w:tblLook w:val="04A0" w:firstRow="1" w:lastRow="0" w:firstColumn="1" w:lastColumn="0" w:noHBand="0" w:noVBand="1"/>
      </w:tblPr>
      <w:tblGrid>
        <w:gridCol w:w="4680"/>
      </w:tblGrid>
      <w:tr w:rsidR="00CD0F29" w:rsidRPr="00021E9E" w:rsidTr="0042034A">
        <w:tc>
          <w:tcPr>
            <w:tcW w:w="4678" w:type="dxa"/>
          </w:tcPr>
          <w:p w:rsidR="00CD0F29" w:rsidRPr="0035418B" w:rsidRDefault="00CD0F29" w:rsidP="0042034A">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UAB KRKA Lietuva</w:t>
            </w:r>
          </w:p>
          <w:p w:rsidR="00CD0F29" w:rsidRPr="0035418B" w:rsidRDefault="00CD0F29" w:rsidP="0042034A">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Senasis Ukmergės kelias 4</w:t>
            </w:r>
          </w:p>
          <w:p w:rsidR="00CD0F29" w:rsidRPr="0035418B" w:rsidRDefault="00CD0F29" w:rsidP="0042034A">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Užubalių km.,Vilniaus r.</w:t>
            </w:r>
          </w:p>
          <w:p w:rsidR="00CD0F29" w:rsidRPr="0035418B" w:rsidRDefault="00CD0F29" w:rsidP="0042034A">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LT - 14013</w:t>
            </w:r>
          </w:p>
          <w:p w:rsidR="00CD0F29" w:rsidRPr="0035418B" w:rsidRDefault="00CD0F29" w:rsidP="0042034A">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Tel. + 370 5 236 27 40</w:t>
            </w:r>
          </w:p>
        </w:tc>
      </w:tr>
    </w:tbl>
    <w:p w:rsidR="00CD0F29" w:rsidRPr="0035418B" w:rsidRDefault="00CD0F29" w:rsidP="00CD0F29">
      <w:pPr>
        <w:widowControl w:val="0"/>
        <w:tabs>
          <w:tab w:val="left" w:pos="708"/>
        </w:tabs>
        <w:spacing w:after="0" w:line="240" w:lineRule="auto"/>
        <w:rPr>
          <w:rFonts w:ascii="Times New Roman" w:eastAsia="Times New Roman" w:hAnsi="Times New Roman"/>
          <w:lang w:eastAsia="sl-SI"/>
        </w:rPr>
      </w:pPr>
    </w:p>
    <w:p w:rsidR="00CD0F29" w:rsidRPr="0035418B" w:rsidRDefault="00CD0F29" w:rsidP="00CD0F29">
      <w:pPr>
        <w:widowControl w:val="0"/>
        <w:numPr>
          <w:ilvl w:val="12"/>
          <w:numId w:val="0"/>
        </w:numPr>
        <w:tabs>
          <w:tab w:val="left" w:pos="567"/>
        </w:tabs>
        <w:spacing w:after="0" w:line="240" w:lineRule="auto"/>
        <w:ind w:right="-2"/>
        <w:rPr>
          <w:rFonts w:ascii="Times New Roman" w:eastAsia="Times New Roman" w:hAnsi="Times New Roman"/>
          <w:snapToGrid w:val="0"/>
        </w:rPr>
      </w:pPr>
      <w:r w:rsidRPr="0035418B">
        <w:rPr>
          <w:rFonts w:ascii="Times New Roman" w:eastAsia="Times New Roman" w:hAnsi="Times New Roman"/>
          <w:b/>
          <w:snapToGrid w:val="0"/>
        </w:rPr>
        <w:t>Šis vaistas EEE valstybėse narėse registruotas tokiais pavadinimais</w:t>
      </w:r>
      <w:r w:rsidRPr="0035418B">
        <w:rPr>
          <w:rFonts w:ascii="Times New Roman" w:eastAsia="Times New Roman" w:hAnsi="Times New Roman"/>
          <w:snapToGrid w:val="0"/>
        </w:rPr>
        <w:t>:</w:t>
      </w:r>
    </w:p>
    <w:p w:rsidR="00CD0F29" w:rsidRPr="004473B0" w:rsidRDefault="00CD0F29" w:rsidP="00CD0F29">
      <w:pPr>
        <w:widowControl w:val="0"/>
        <w:tabs>
          <w:tab w:val="left" w:pos="708"/>
        </w:tabs>
        <w:spacing w:after="0" w:line="240" w:lineRule="auto"/>
        <w:rPr>
          <w:rFonts w:ascii="Times New Roman" w:eastAsia="Times New Roman" w:hAnsi="Times New Roman"/>
          <w:i/>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2"/>
      </w:tblGrid>
      <w:tr w:rsidR="00CD0F29" w:rsidRPr="004473B0" w:rsidTr="0042034A">
        <w:tc>
          <w:tcPr>
            <w:tcW w:w="2977"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spacing w:after="0" w:line="240" w:lineRule="auto"/>
              <w:rPr>
                <w:rFonts w:ascii="Times New Roman" w:eastAsia="Times New Roman" w:hAnsi="Times New Roman"/>
                <w:b/>
                <w:lang w:eastAsia="sl-SI"/>
              </w:rPr>
            </w:pPr>
            <w:r w:rsidRPr="004473B0">
              <w:rPr>
                <w:rFonts w:ascii="Times New Roman" w:eastAsia="Times New Roman" w:hAnsi="Times New Roman"/>
                <w:b/>
                <w:bCs/>
                <w:lang w:eastAsia="sl-SI"/>
              </w:rPr>
              <w:t>Valstybės narės pavadinimas</w:t>
            </w:r>
          </w:p>
        </w:tc>
        <w:tc>
          <w:tcPr>
            <w:tcW w:w="3402"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spacing w:after="0" w:line="240" w:lineRule="auto"/>
              <w:ind w:left="34"/>
              <w:rPr>
                <w:rFonts w:ascii="Times New Roman" w:eastAsia="Times New Roman" w:hAnsi="Times New Roman"/>
                <w:b/>
                <w:lang w:eastAsia="sl-SI"/>
              </w:rPr>
            </w:pPr>
            <w:r w:rsidRPr="004473B0">
              <w:rPr>
                <w:rFonts w:ascii="Times New Roman" w:eastAsia="Times New Roman" w:hAnsi="Times New Roman"/>
                <w:b/>
                <w:bCs/>
                <w:lang w:eastAsia="sl-SI"/>
              </w:rPr>
              <w:t>Vaisto pavadinimas</w:t>
            </w:r>
          </w:p>
        </w:tc>
      </w:tr>
      <w:tr w:rsidR="00CD0F29" w:rsidRPr="004473B0" w:rsidTr="0042034A">
        <w:tc>
          <w:tcPr>
            <w:tcW w:w="2977"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Austrija, Danija, Suomija, Islandija, Norvegija</w:t>
            </w:r>
          </w:p>
        </w:tc>
        <w:tc>
          <w:tcPr>
            <w:tcW w:w="3402"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hAnsi="Times New Roman"/>
                <w:lang w:val="en-GB"/>
              </w:rPr>
              <w:t>Esomeprazol Krka</w:t>
            </w:r>
          </w:p>
        </w:tc>
      </w:tr>
      <w:tr w:rsidR="00CD0F29" w:rsidRPr="004473B0" w:rsidTr="0042034A">
        <w:tc>
          <w:tcPr>
            <w:tcW w:w="2977"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Bulgarija, Čekija, Lenkija, Rumunija, Slovakija</w:t>
            </w:r>
          </w:p>
        </w:tc>
        <w:tc>
          <w:tcPr>
            <w:tcW w:w="3402"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Emanera</w:t>
            </w:r>
          </w:p>
        </w:tc>
      </w:tr>
      <w:tr w:rsidR="00CD0F29" w:rsidRPr="004473B0" w:rsidTr="0042034A">
        <w:tc>
          <w:tcPr>
            <w:tcW w:w="2977"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Vengrija</w:t>
            </w:r>
          </w:p>
        </w:tc>
        <w:tc>
          <w:tcPr>
            <w:tcW w:w="3402"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val="en-GB" w:eastAsia="sl-SI"/>
              </w:rPr>
            </w:pPr>
            <w:r w:rsidRPr="004473B0">
              <w:rPr>
                <w:rFonts w:ascii="Times New Roman" w:eastAsia="Times New Roman" w:hAnsi="Times New Roman"/>
                <w:lang w:val="en-GB" w:eastAsia="sl-SI"/>
              </w:rPr>
              <w:t>20 mg: Emozul Control</w:t>
            </w:r>
          </w:p>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40 mg: Emanera</w:t>
            </w:r>
          </w:p>
        </w:tc>
      </w:tr>
      <w:tr w:rsidR="00CD0F29" w:rsidRPr="004473B0" w:rsidTr="0042034A">
        <w:tc>
          <w:tcPr>
            <w:tcW w:w="2977"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Lietuva, Latvija, Estija</w:t>
            </w:r>
          </w:p>
        </w:tc>
        <w:tc>
          <w:tcPr>
            <w:tcW w:w="3402" w:type="dxa"/>
            <w:tcBorders>
              <w:top w:val="single" w:sz="4" w:space="0" w:color="auto"/>
              <w:left w:val="single" w:sz="4" w:space="0" w:color="auto"/>
              <w:bottom w:val="single" w:sz="4" w:space="0" w:color="auto"/>
              <w:right w:val="single" w:sz="4" w:space="0" w:color="auto"/>
            </w:tcBorders>
          </w:tcPr>
          <w:p w:rsidR="00CD0F29" w:rsidRPr="004473B0" w:rsidRDefault="00CD0F29" w:rsidP="0042034A">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Escadra</w:t>
            </w:r>
          </w:p>
        </w:tc>
      </w:tr>
    </w:tbl>
    <w:p w:rsidR="00CD0F29" w:rsidRPr="004473B0"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708"/>
        </w:tabs>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b/>
          <w:lang w:val="sl-SI" w:eastAsia="sl-SI"/>
        </w:rPr>
      </w:pPr>
      <w:r w:rsidRPr="0035418B">
        <w:rPr>
          <w:rFonts w:ascii="Times New Roman" w:eastAsia="Times New Roman" w:hAnsi="Times New Roman"/>
          <w:b/>
          <w:lang w:eastAsia="sl-SI"/>
        </w:rPr>
        <w:t>Šis pakuotės lapelis paskutinį kartą peržiūrėtas</w:t>
      </w:r>
      <w:r>
        <w:rPr>
          <w:rFonts w:ascii="Times New Roman" w:eastAsia="Times New Roman" w:hAnsi="Times New Roman"/>
          <w:b/>
          <w:lang w:eastAsia="sl-SI"/>
        </w:rPr>
        <w:t xml:space="preserve"> 2021-12-08.</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 xml:space="preserve">Išsami informacija apie šį vaistą pateikiama Valstybinės vaistų kontrolės tarnybos prie Lietuvos Respublikos sveikatos apsaugos ministerijos tinklalapyje </w:t>
      </w:r>
      <w:hyperlink r:id="rId5" w:history="1">
        <w:r w:rsidRPr="0035418B">
          <w:rPr>
            <w:rFonts w:ascii="Times New Roman" w:eastAsia="Times New Roman" w:hAnsi="Times New Roman"/>
            <w:color w:val="0000FF"/>
            <w:u w:val="single"/>
            <w:lang w:val="sl-SI" w:eastAsia="sl-SI"/>
          </w:rPr>
          <w:t>http://www.vvkt.lt/</w:t>
        </w:r>
      </w:hyperlink>
    </w:p>
    <w:p w:rsidR="00CD0F29" w:rsidRPr="0035418B" w:rsidRDefault="00CD0F29" w:rsidP="00CD0F29">
      <w:pPr>
        <w:widowControl w:val="0"/>
        <w:spacing w:after="0" w:line="240" w:lineRule="auto"/>
        <w:rPr>
          <w:rFonts w:ascii="Times New Roman" w:eastAsia="Times New Roman" w:hAnsi="Times New Roman"/>
          <w:lang w:val="sl-SI" w:eastAsia="sl-SI"/>
        </w:rPr>
      </w:pPr>
    </w:p>
    <w:p w:rsidR="00CD0F29" w:rsidRPr="0035418B" w:rsidRDefault="00CD0F29" w:rsidP="00CD0F29">
      <w:pPr>
        <w:widowControl w:val="0"/>
        <w:pBdr>
          <w:bottom w:val="single" w:sz="6" w:space="1" w:color="auto"/>
        </w:pBdr>
        <w:spacing w:after="0" w:line="240" w:lineRule="auto"/>
        <w:rPr>
          <w:rFonts w:ascii="Times New Roman" w:eastAsia="Times New Roman" w:hAnsi="Times New Roman"/>
          <w:lang w:eastAsia="sl-SI"/>
        </w:rPr>
      </w:pPr>
    </w:p>
    <w:p w:rsidR="00CD0F29" w:rsidRPr="00266AA7" w:rsidRDefault="00CD0F29" w:rsidP="00CD0F29">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 xml:space="preserve">Toliau pateikta informacija skirta </w:t>
      </w:r>
      <w:r w:rsidRPr="00266AA7">
        <w:rPr>
          <w:rFonts w:ascii="Times New Roman" w:eastAsia="Times New Roman" w:hAnsi="Times New Roman"/>
          <w:lang w:eastAsia="sl-SI"/>
        </w:rPr>
        <w:t>tik sveikatos priežiūros specialistams:</w:t>
      </w:r>
    </w:p>
    <w:p w:rsidR="00CD0F29" w:rsidRPr="00313E24" w:rsidRDefault="00CD0F29" w:rsidP="00CD0F29">
      <w:pPr>
        <w:widowControl w:val="0"/>
        <w:spacing w:after="0" w:line="240" w:lineRule="auto"/>
        <w:rPr>
          <w:rFonts w:ascii="Times New Roman" w:eastAsia="Times New Roman" w:hAnsi="Times New Roman"/>
          <w:u w:val="single"/>
          <w:lang w:eastAsia="sl-SI"/>
        </w:rPr>
      </w:pPr>
      <w:r w:rsidRPr="00266AA7">
        <w:rPr>
          <w:rFonts w:ascii="Times New Roman" w:eastAsia="Times New Roman" w:hAnsi="Times New Roman"/>
          <w:u w:val="single"/>
          <w:lang w:eastAsia="sl-SI"/>
        </w:rPr>
        <w:t xml:space="preserve">Leidimas pro skrandžio vamzdelį </w:t>
      </w:r>
      <w:r w:rsidRPr="00F82023">
        <w:rPr>
          <w:rFonts w:ascii="Times New Roman" w:hAnsi="Times New Roman"/>
          <w:u w:val="single"/>
          <w:lang w:val="sl-SI"/>
        </w:rPr>
        <w:t xml:space="preserve">(≥ 16 </w:t>
      </w:r>
      <w:r w:rsidRPr="00266AA7">
        <w:rPr>
          <w:rFonts w:ascii="Times New Roman" w:hAnsi="Times New Roman"/>
          <w:u w:val="single"/>
          <w:lang w:val="sl-SI"/>
        </w:rPr>
        <w:t xml:space="preserve">Fr </w:t>
      </w:r>
      <w:r w:rsidRPr="00F82023">
        <w:rPr>
          <w:rFonts w:ascii="Times New Roman" w:hAnsi="Times New Roman"/>
          <w:u w:val="single"/>
          <w:lang w:val="sl-SI"/>
        </w:rPr>
        <w:t xml:space="preserve"> dydžio)</w:t>
      </w:r>
    </w:p>
    <w:p w:rsidR="00CD0F29" w:rsidRPr="0035418B" w:rsidRDefault="00CD0F29" w:rsidP="00CD0F29">
      <w:pPr>
        <w:widowControl w:val="0"/>
        <w:tabs>
          <w:tab w:val="left" w:pos="567"/>
        </w:tabs>
        <w:spacing w:after="0" w:line="240" w:lineRule="auto"/>
        <w:ind w:left="567" w:hanging="567"/>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rPr>
          <w:rFonts w:ascii="Times New Roman" w:eastAsia="Times New Roman" w:hAnsi="Times New Roman"/>
          <w:lang w:eastAsia="sl-SI"/>
        </w:rPr>
      </w:pPr>
      <w:r w:rsidRPr="00266AA7">
        <w:rPr>
          <w:rFonts w:ascii="Times New Roman" w:eastAsia="Times New Roman" w:hAnsi="Times New Roman"/>
          <w:lang w:eastAsia="sl-SI"/>
        </w:rPr>
        <w:t>1.</w:t>
      </w:r>
      <w:r w:rsidRPr="00266AA7">
        <w:rPr>
          <w:rFonts w:ascii="Times New Roman" w:eastAsia="Times New Roman" w:hAnsi="Times New Roman"/>
          <w:lang w:eastAsia="sl-SI"/>
        </w:rPr>
        <w:tab/>
        <w:t>Atidary</w:t>
      </w:r>
      <w:r w:rsidRPr="00F82023">
        <w:rPr>
          <w:rFonts w:ascii="Times New Roman" w:eastAsia="Times New Roman" w:hAnsi="Times New Roman"/>
          <w:lang w:eastAsia="sl-SI"/>
        </w:rPr>
        <w:t>ti</w:t>
      </w:r>
      <w:r w:rsidRPr="00266AA7">
        <w:rPr>
          <w:rFonts w:ascii="Times New Roman" w:eastAsia="Times New Roman" w:hAnsi="Times New Roman"/>
          <w:lang w:eastAsia="sl-SI"/>
        </w:rPr>
        <w:t xml:space="preserve"> kapsulę, granules supil</w:t>
      </w:r>
      <w:r w:rsidRPr="00F82023">
        <w:rPr>
          <w:rFonts w:ascii="Times New Roman" w:eastAsia="Times New Roman" w:hAnsi="Times New Roman"/>
          <w:lang w:eastAsia="sl-SI"/>
        </w:rPr>
        <w:t>ti</w:t>
      </w:r>
      <w:r w:rsidRPr="00266AA7">
        <w:rPr>
          <w:rFonts w:ascii="Times New Roman" w:eastAsia="Times New Roman" w:hAnsi="Times New Roman"/>
          <w:lang w:eastAsia="sl-SI"/>
        </w:rPr>
        <w:t xml:space="preserve"> į tinkamą</w:t>
      </w:r>
      <w:r w:rsidRPr="0035418B">
        <w:rPr>
          <w:rFonts w:ascii="Times New Roman" w:eastAsia="Times New Roman" w:hAnsi="Times New Roman"/>
          <w:lang w:eastAsia="sl-SI"/>
        </w:rPr>
        <w:t xml:space="preserve"> švirkštą ir įtraukti į jį maždaug 25 ml vandens ir maždaug 5 ml oro. Leidžiant pro kai kuriuos vamzdelius, dispersiją reikia ruošti 50 ml vandens, kad granulės neužkimštų vamzdelio.</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2.</w:t>
      </w:r>
      <w:r w:rsidRPr="0035418B">
        <w:rPr>
          <w:rFonts w:ascii="Times New Roman" w:eastAsia="Times New Roman" w:hAnsi="Times New Roman"/>
          <w:lang w:eastAsia="sl-SI"/>
        </w:rPr>
        <w:tab/>
        <w:t xml:space="preserve">Švirkštą tuoj pat kratyti, kol </w:t>
      </w:r>
      <w:r>
        <w:rPr>
          <w:rFonts w:ascii="Times New Roman" w:eastAsia="Times New Roman" w:hAnsi="Times New Roman"/>
          <w:lang w:eastAsia="sl-SI"/>
        </w:rPr>
        <w:t>kapsulė</w:t>
      </w:r>
      <w:r w:rsidRPr="0035418B">
        <w:rPr>
          <w:rFonts w:ascii="Times New Roman" w:eastAsia="Times New Roman" w:hAnsi="Times New Roman"/>
          <w:lang w:eastAsia="sl-SI"/>
        </w:rPr>
        <w:t xml:space="preserve"> suirs.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3.</w:t>
      </w:r>
      <w:r w:rsidRPr="0035418B">
        <w:rPr>
          <w:rFonts w:ascii="Times New Roman" w:eastAsia="Times New Roman" w:hAnsi="Times New Roman"/>
          <w:lang w:eastAsia="sl-SI"/>
        </w:rPr>
        <w:tab/>
        <w:t>Švirkštą laikant viršūnę nukreipus aukštyn, patikrinti ar ji neužkimšta.</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4.</w:t>
      </w:r>
      <w:r w:rsidRPr="0035418B">
        <w:rPr>
          <w:rFonts w:ascii="Times New Roman" w:eastAsia="Times New Roman" w:hAnsi="Times New Roman"/>
          <w:lang w:eastAsia="sl-SI"/>
        </w:rPr>
        <w:tab/>
        <w:t>Švirkštą, laikomą taip, kaip nurodyta anksčiau, prijungti prie vamzdelio.</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tabs>
          <w:tab w:val="left" w:pos="567"/>
        </w:tabs>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5.</w:t>
      </w:r>
      <w:r w:rsidRPr="0035418B">
        <w:rPr>
          <w:rFonts w:ascii="Times New Roman" w:eastAsia="Times New Roman" w:hAnsi="Times New Roman"/>
          <w:lang w:eastAsia="sl-SI"/>
        </w:rPr>
        <w:tab/>
        <w:t>Švirkštą pakračius ir apvertus viršūne nukreipta žemyn, iš karto suleisti 5–10 ml dispersijos į vamzdelį. Suleidus švirkštą apversti ir pakratyti (švirkštą būtina laikyti viršūnę nukreipus į viršų, kad ji neužsikimštų).</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6.</w:t>
      </w:r>
      <w:r w:rsidRPr="0035418B">
        <w:rPr>
          <w:rFonts w:ascii="Times New Roman" w:eastAsia="Times New Roman" w:hAnsi="Times New Roman"/>
          <w:lang w:eastAsia="sl-SI"/>
        </w:rPr>
        <w:tab/>
        <w:t>Švirkštą apvertus viršūne nukreipta žemyn, iš karto suleisti dar 5–10 ml dispersijos į vamzdelį. Šią procedūrą kartoti tol, kol švirkštas ištuštės.</w:t>
      </w:r>
    </w:p>
    <w:p w:rsidR="00CD0F29" w:rsidRPr="0035418B" w:rsidRDefault="00CD0F29" w:rsidP="00CD0F29">
      <w:pPr>
        <w:widowControl w:val="0"/>
        <w:spacing w:after="0" w:line="240" w:lineRule="auto"/>
        <w:rPr>
          <w:rFonts w:ascii="Times New Roman" w:eastAsia="Times New Roman" w:hAnsi="Times New Roman"/>
          <w:lang w:eastAsia="sl-SI"/>
        </w:rPr>
      </w:pPr>
    </w:p>
    <w:p w:rsidR="00CD0F29" w:rsidRPr="0035418B" w:rsidRDefault="00CD0F29" w:rsidP="00CD0F29">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7.</w:t>
      </w:r>
      <w:r w:rsidRPr="0035418B">
        <w:rPr>
          <w:rFonts w:ascii="Times New Roman" w:eastAsia="Times New Roman" w:hAnsi="Times New Roman"/>
          <w:lang w:eastAsia="sl-SI"/>
        </w:rPr>
        <w:tab/>
        <w:t>Į švirkštą įtraukus 25 ml vandens ir 5 ml oro, pakartoti 5 punkte nurodytus veiksmus, jei reikia nuplauti švirkšte likusias nuosėdas. Leidžiant pro kai kuriuos vamzdelius, reikia 50 ml vandens.</w:t>
      </w:r>
    </w:p>
    <w:p w:rsidR="004B3117" w:rsidRDefault="004B3117"/>
    <w:sectPr w:rsidR="004B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C1"/>
    <w:multiLevelType w:val="hybridMultilevel"/>
    <w:tmpl w:val="E5302354"/>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869D8"/>
    <w:multiLevelType w:val="hybridMultilevel"/>
    <w:tmpl w:val="A3821CA8"/>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E6D28D1"/>
    <w:multiLevelType w:val="hybridMultilevel"/>
    <w:tmpl w:val="2840A650"/>
    <w:lvl w:ilvl="0" w:tplc="7EB44DF8">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2ED54A0"/>
    <w:multiLevelType w:val="hybridMultilevel"/>
    <w:tmpl w:val="B030AA5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A8051F9"/>
    <w:multiLevelType w:val="hybridMultilevel"/>
    <w:tmpl w:val="1F5C58F6"/>
    <w:lvl w:ilvl="0" w:tplc="04F803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495976"/>
    <w:multiLevelType w:val="hybridMultilevel"/>
    <w:tmpl w:val="9078E30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4281"/>
    <w:multiLevelType w:val="hybridMultilevel"/>
    <w:tmpl w:val="30A0EDD2"/>
    <w:lvl w:ilvl="0" w:tplc="DCCC1BFA">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FFFFFFFF">
      <w:start w:val="1"/>
      <w:numFmt w:val="bullet"/>
      <w:lvlText w:val="-"/>
      <w:legacy w:legacy="1" w:legacySpace="0" w:legacyIndent="360"/>
      <w:lvlJc w:val="left"/>
      <w:pPr>
        <w:ind w:left="36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F02CEA"/>
    <w:multiLevelType w:val="hybridMultilevel"/>
    <w:tmpl w:val="BA5872CC"/>
    <w:lvl w:ilvl="0" w:tplc="64CC511A">
      <w:start w:val="1"/>
      <w:numFmt w:val="bullet"/>
      <w:lvlRestart w:val="0"/>
      <w:lvlText w:val="-"/>
      <w:lvlJc w:val="left"/>
      <w:pPr>
        <w:tabs>
          <w:tab w:val="num" w:pos="1983"/>
        </w:tabs>
        <w:ind w:left="1983" w:hanging="363"/>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C0E00"/>
    <w:multiLevelType w:val="hybridMultilevel"/>
    <w:tmpl w:val="19C635BA"/>
    <w:lvl w:ilvl="0" w:tplc="C100AFCE">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4C0F253E"/>
    <w:multiLevelType w:val="hybridMultilevel"/>
    <w:tmpl w:val="C752357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50132B1A"/>
    <w:multiLevelType w:val="hybridMultilevel"/>
    <w:tmpl w:val="62E43492"/>
    <w:lvl w:ilvl="0" w:tplc="7EB44DF8">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BB45263"/>
    <w:multiLevelType w:val="hybridMultilevel"/>
    <w:tmpl w:val="B03A13EE"/>
    <w:lvl w:ilvl="0" w:tplc="7EB44DF8">
      <w:start w:val="1"/>
      <w:numFmt w:val="bullet"/>
      <w:lvlText w:val="-"/>
      <w:legacy w:legacy="1" w:legacySpace="0" w:legacyIndent="360"/>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C6B1021"/>
    <w:multiLevelType w:val="hybridMultilevel"/>
    <w:tmpl w:val="CEBE0C8E"/>
    <w:lvl w:ilvl="0" w:tplc="04270001">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6F1D7FCF"/>
    <w:multiLevelType w:val="hybridMultilevel"/>
    <w:tmpl w:val="FE4C746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29"/>
    <w:rsid w:val="004B3117"/>
    <w:rsid w:val="00CD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26AD5-1B19-43A2-A5AF-A848D83B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3400</Words>
  <Characters>19380</Characters>
  <Application>Microsoft Office Word</Application>
  <DocSecurity>0</DocSecurity>
  <Lines>161</Lines>
  <Paragraphs>45</Paragraphs>
  <ScaleCrop>false</ScaleCrop>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2022-03-23T08:31:00Z</dcterms:created>
  <dcterms:modified xsi:type="dcterms:W3CDTF">2022-03-23T08:31:00Z</dcterms:modified>
</cp:coreProperties>
</file>