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101E" w:rsidRDefault="00B1101E" w:rsidP="00B1101E">
      <w:pPr>
        <w:spacing w:after="0" w:line="240" w:lineRule="auto"/>
        <w:ind w:left="567" w:hanging="567"/>
        <w:jc w:val="center"/>
        <w:rPr>
          <w:rFonts w:ascii="Times New Roman" w:hAnsi="Times New Roman"/>
          <w:b/>
          <w:caps/>
          <w:lang w:val="lt-LT"/>
        </w:rPr>
      </w:pPr>
      <w:r>
        <w:rPr>
          <w:rFonts w:ascii="Times New Roman" w:hAnsi="Times New Roman"/>
          <w:b/>
          <w:lang w:val="lt-LT"/>
        </w:rPr>
        <w:t>Pakuotės lapelis: informacija vartotojui</w:t>
      </w:r>
    </w:p>
    <w:p w:rsidR="00B1101E" w:rsidRDefault="00B1101E" w:rsidP="00B1101E">
      <w:pPr>
        <w:spacing w:after="0" w:line="240" w:lineRule="auto"/>
        <w:ind w:left="567" w:hanging="567"/>
        <w:jc w:val="center"/>
        <w:rPr>
          <w:rFonts w:ascii="Times New Roman" w:hAnsi="Times New Roman"/>
          <w:b/>
          <w:caps/>
          <w:lang w:val="lt-LT"/>
        </w:rPr>
      </w:pPr>
    </w:p>
    <w:p w:rsidR="00B1101E" w:rsidRDefault="00B1101E" w:rsidP="00B1101E">
      <w:pPr>
        <w:spacing w:after="0" w:line="240" w:lineRule="auto"/>
        <w:jc w:val="center"/>
        <w:rPr>
          <w:rFonts w:ascii="Times New Roman" w:hAnsi="Times New Roman"/>
          <w:b/>
          <w:lang w:val="lt-LT"/>
        </w:rPr>
      </w:pPr>
      <w:r>
        <w:rPr>
          <w:rFonts w:ascii="Times New Roman" w:hAnsi="Times New Roman"/>
          <w:b/>
          <w:lang w:val="lt-LT"/>
        </w:rPr>
        <w:t>Thioctacid HR 600 mg</w:t>
      </w:r>
      <w:r>
        <w:rPr>
          <w:rFonts w:ascii="Times New Roman" w:hAnsi="Times New Roman"/>
          <w:lang w:val="lt-LT"/>
        </w:rPr>
        <w:t xml:space="preserve"> </w:t>
      </w:r>
      <w:r>
        <w:rPr>
          <w:rFonts w:ascii="Times New Roman" w:hAnsi="Times New Roman"/>
          <w:b/>
          <w:lang w:val="lt-LT"/>
        </w:rPr>
        <w:t>plėvele dengtos tabletės</w:t>
      </w:r>
    </w:p>
    <w:p w:rsidR="00B1101E" w:rsidRDefault="00B1101E" w:rsidP="00B1101E">
      <w:pPr>
        <w:spacing w:after="0" w:line="240" w:lineRule="auto"/>
        <w:ind w:left="567" w:hanging="567"/>
        <w:jc w:val="center"/>
        <w:rPr>
          <w:rFonts w:ascii="Times New Roman" w:hAnsi="Times New Roman"/>
          <w:b/>
          <w:caps/>
          <w:lang w:val="lt-LT"/>
        </w:rPr>
      </w:pPr>
      <w:r>
        <w:rPr>
          <w:rFonts w:ascii="Times New Roman" w:hAnsi="Times New Roman"/>
          <w:lang w:val="lt-LT"/>
        </w:rPr>
        <w:t>Tiokto rūgštis</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Atidžiai perskaitykite visą šį lapelį, prieš pradėdami vartoti vaistą, nes jame pateikiama Jums svarbi informacija.</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Neišmeskite šio lapelio, nes vėl gali prireikti jį perskaityti.</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Jeigu kiltų daugiau klausimų, kreipkitės į gydytoją arba vaistininką.</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Šis vaistas skirtas tik Jums, todėl kitiems žmonėms jo duoti negalima. Vaistas gali jiems pakenkti (net tiems, kurių ligos požymiai yra tokie patys kaip Jūsų).</w:t>
      </w:r>
    </w:p>
    <w:p w:rsidR="00B1101E" w:rsidRDefault="00B1101E" w:rsidP="00B1101E">
      <w:pPr>
        <w:numPr>
          <w:ilvl w:val="0"/>
          <w:numId w:val="1"/>
        </w:numPr>
        <w:spacing w:after="0" w:line="240" w:lineRule="auto"/>
        <w:ind w:left="567" w:hanging="567"/>
        <w:rPr>
          <w:rFonts w:ascii="Times New Roman" w:hAnsi="Times New Roman"/>
          <w:lang w:val="lt-LT"/>
        </w:rPr>
      </w:pPr>
      <w:r>
        <w:rPr>
          <w:rFonts w:ascii="Times New Roman" w:hAnsi="Times New Roman"/>
          <w:lang w:val="lt-LT"/>
        </w:rPr>
        <w:t>Jeigu pasireiškė  šalutinis poveikis (net jeigu jis šiame lapelyje nenurodytas), kreipkitės į gydytoją arba vaistininką. Žr. 4 skyrių.</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Apie ką rašoma šiame lapelyje ?</w:t>
      </w:r>
    </w:p>
    <w:p w:rsidR="00B1101E" w:rsidRDefault="00B1101E" w:rsidP="00B1101E">
      <w:pPr>
        <w:spacing w:after="0" w:line="240" w:lineRule="auto"/>
        <w:ind w:left="567" w:hanging="567"/>
        <w:rPr>
          <w:rFonts w:ascii="Times New Roman" w:hAnsi="Times New Roman"/>
          <w:b/>
          <w:lang w:val="lt-LT"/>
        </w:rPr>
      </w:pP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1.</w:t>
      </w:r>
      <w:r>
        <w:rPr>
          <w:rFonts w:ascii="Times New Roman" w:hAnsi="Times New Roman"/>
          <w:lang w:val="lt-LT"/>
        </w:rPr>
        <w:tab/>
        <w:t>Kas yra Thioctacid HR ir kam jis vartojamas</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2.</w:t>
      </w:r>
      <w:r>
        <w:rPr>
          <w:rFonts w:ascii="Times New Roman" w:hAnsi="Times New Roman"/>
          <w:lang w:val="lt-LT"/>
        </w:rPr>
        <w:tab/>
        <w:t>Kas žinotina prieš vartojant Thioctacid HR</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3.</w:t>
      </w:r>
      <w:r>
        <w:rPr>
          <w:rFonts w:ascii="Times New Roman" w:hAnsi="Times New Roman"/>
          <w:lang w:val="lt-LT"/>
        </w:rPr>
        <w:tab/>
        <w:t>Kaip vartoti Thioctacid HR</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4.</w:t>
      </w:r>
      <w:r>
        <w:rPr>
          <w:rFonts w:ascii="Times New Roman" w:hAnsi="Times New Roman"/>
          <w:lang w:val="lt-LT"/>
        </w:rPr>
        <w:tab/>
        <w:t>Galimas šalutinis poveikis</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5.</w:t>
      </w:r>
      <w:r>
        <w:rPr>
          <w:rFonts w:ascii="Times New Roman" w:hAnsi="Times New Roman"/>
          <w:lang w:val="lt-LT"/>
        </w:rPr>
        <w:tab/>
        <w:t>Kaip laikyti Thioctacid HR</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6.</w:t>
      </w:r>
      <w:r>
        <w:rPr>
          <w:rFonts w:ascii="Times New Roman" w:hAnsi="Times New Roman"/>
          <w:lang w:val="lt-LT"/>
        </w:rPr>
        <w:tab/>
        <w:t>Pakuotės turinys  ir kita informacija</w:t>
      </w:r>
    </w:p>
    <w:p w:rsidR="00B1101E" w:rsidRDefault="00B1101E" w:rsidP="00B1101E">
      <w:pPr>
        <w:spacing w:after="0" w:line="240" w:lineRule="auto"/>
        <w:rPr>
          <w:rFonts w:ascii="Times New Roman" w:hAnsi="Times New Roman"/>
          <w:lang w:val="lt-LT"/>
        </w:rPr>
      </w:pPr>
    </w:p>
    <w:p w:rsidR="00B1101E" w:rsidRDefault="00B1101E" w:rsidP="00B1101E">
      <w:pPr>
        <w:spacing w:after="0" w:line="240" w:lineRule="auto"/>
        <w:ind w:left="567" w:hanging="567"/>
        <w:rPr>
          <w:rFonts w:ascii="Times New Roman" w:hAnsi="Times New Roman"/>
          <w:lang w:val="lt-LT"/>
        </w:rPr>
      </w:pPr>
    </w:p>
    <w:p w:rsidR="00B1101E" w:rsidRDefault="00B1101E" w:rsidP="00B1101E">
      <w:pPr>
        <w:numPr>
          <w:ilvl w:val="12"/>
          <w:numId w:val="0"/>
        </w:numPr>
        <w:spacing w:after="0" w:line="240" w:lineRule="auto"/>
        <w:ind w:left="567" w:hanging="567"/>
        <w:outlineLvl w:val="0"/>
        <w:rPr>
          <w:rFonts w:ascii="Times New Roman" w:hAnsi="Times New Roman"/>
          <w:b/>
          <w:caps/>
          <w:lang w:val="lt-LT"/>
        </w:rPr>
      </w:pPr>
      <w:r>
        <w:rPr>
          <w:rFonts w:ascii="Times New Roman" w:hAnsi="Times New Roman"/>
          <w:b/>
          <w:lang w:val="lt-LT"/>
        </w:rPr>
        <w:t>1.</w:t>
      </w:r>
      <w:r>
        <w:rPr>
          <w:rFonts w:ascii="Times New Roman" w:hAnsi="Times New Roman"/>
          <w:b/>
          <w:lang w:val="lt-LT"/>
        </w:rPr>
        <w:tab/>
        <w:t>Kas yra Thioctacid HR ir kam jis vartojamas</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rPr>
          <w:rFonts w:ascii="Times New Roman" w:hAnsi="Times New Roman"/>
          <w:lang w:val="lt-LT"/>
        </w:rPr>
      </w:pPr>
      <w:r>
        <w:rPr>
          <w:rFonts w:ascii="Times New Roman" w:hAnsi="Times New Roman"/>
          <w:lang w:val="lt-LT"/>
        </w:rPr>
        <w:t>Thioctacid HR veiklioji medžiaga – tiokto rūgštis. Ji susidaro žmogaus organizme ir veikia medžiagų apykaitą. Tiokto rūgštis apsaugo nervinį audinį nuo degeneraciją skatinančių medžiagų (yra antioksidantas).</w:t>
      </w:r>
    </w:p>
    <w:p w:rsidR="00B1101E" w:rsidRDefault="00B1101E" w:rsidP="00B1101E">
      <w:pPr>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Thioctacid HR gydomi diabetinės polineuropatijos simptomai: sustingimas ar sumažėjęs pojūtis skausmui ar temperatūros pokyčiams, ypač pėdose, dilgčiojimo ir badymo pojūtis, prasidedantis kojų pirštuose ar pėdos pagalvėlėse, pusiausvyros ir koordinacijos praradimas.</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lang w:val="lt-LT"/>
        </w:rPr>
      </w:pPr>
    </w:p>
    <w:p w:rsidR="00B1101E" w:rsidRDefault="00B1101E" w:rsidP="00B1101E">
      <w:pPr>
        <w:numPr>
          <w:ilvl w:val="12"/>
          <w:numId w:val="0"/>
        </w:numPr>
        <w:spacing w:after="0" w:line="240" w:lineRule="auto"/>
        <w:ind w:left="567" w:hanging="567"/>
        <w:outlineLvl w:val="0"/>
        <w:rPr>
          <w:rFonts w:ascii="Times New Roman" w:hAnsi="Times New Roman"/>
          <w:b/>
          <w:lang w:val="lt-LT"/>
        </w:rPr>
      </w:pPr>
      <w:r>
        <w:rPr>
          <w:rFonts w:ascii="Times New Roman" w:hAnsi="Times New Roman"/>
          <w:b/>
          <w:lang w:val="lt-LT"/>
        </w:rPr>
        <w:t>2.</w:t>
      </w:r>
      <w:r>
        <w:rPr>
          <w:rFonts w:ascii="Times New Roman" w:hAnsi="Times New Roman"/>
          <w:b/>
          <w:lang w:val="lt-LT"/>
        </w:rPr>
        <w:tab/>
        <w:t>Kas žinotina prieš vartojant Thioctacid HR</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rPr>
          <w:rFonts w:ascii="Times New Roman" w:hAnsi="Times New Roman"/>
          <w:b/>
          <w:lang w:val="lt-LT"/>
        </w:rPr>
      </w:pPr>
      <w:r>
        <w:rPr>
          <w:rFonts w:ascii="Times New Roman" w:hAnsi="Times New Roman"/>
          <w:b/>
          <w:lang w:val="lt-LT"/>
        </w:rPr>
        <w:t xml:space="preserve">Thioctacid HR </w:t>
      </w:r>
      <w:r>
        <w:rPr>
          <w:rFonts w:ascii="Times New Roman" w:hAnsi="Times New Roman"/>
          <w:b/>
          <w:bCs/>
          <w:lang w:val="lt-LT"/>
        </w:rPr>
        <w:t>vartoti negalima:</w:t>
      </w:r>
    </w:p>
    <w:p w:rsidR="00B1101E" w:rsidRDefault="00B1101E" w:rsidP="00B1101E">
      <w:pPr>
        <w:numPr>
          <w:ilvl w:val="12"/>
          <w:numId w:val="0"/>
        </w:numPr>
        <w:tabs>
          <w:tab w:val="left" w:pos="360"/>
        </w:tabs>
        <w:spacing w:after="0" w:line="240" w:lineRule="auto"/>
        <w:ind w:left="360" w:hanging="360"/>
        <w:rPr>
          <w:rFonts w:ascii="Times New Roman" w:hAnsi="Times New Roman"/>
          <w:lang w:val="lt-LT"/>
        </w:rPr>
      </w:pPr>
      <w:r>
        <w:rPr>
          <w:rFonts w:ascii="Times New Roman" w:hAnsi="Times New Roman"/>
          <w:lang w:val="lt-LT"/>
        </w:rPr>
        <w:t>-</w:t>
      </w:r>
      <w:r>
        <w:rPr>
          <w:rFonts w:ascii="Times New Roman" w:hAnsi="Times New Roman"/>
          <w:lang w:val="lt-LT"/>
        </w:rPr>
        <w:tab/>
        <w:t>jeigu yra alergija tiokto rūgščiai arba bet kuriai pagalbinei šio vaisto medžiagai (jos išvardytos 6 skyriuje);</w:t>
      </w:r>
    </w:p>
    <w:p w:rsidR="00B1101E" w:rsidRDefault="00B1101E" w:rsidP="00B1101E">
      <w:pPr>
        <w:numPr>
          <w:ilvl w:val="12"/>
          <w:numId w:val="0"/>
        </w:numPr>
        <w:tabs>
          <w:tab w:val="left" w:pos="360"/>
        </w:tabs>
        <w:spacing w:after="0" w:line="240" w:lineRule="auto"/>
        <w:ind w:left="360" w:hanging="360"/>
        <w:rPr>
          <w:rFonts w:ascii="Times New Roman" w:hAnsi="Times New Roman"/>
          <w:lang w:val="lt-LT"/>
        </w:rPr>
      </w:pPr>
      <w:r>
        <w:rPr>
          <w:rFonts w:ascii="Times New Roman" w:hAnsi="Times New Roman"/>
          <w:lang w:val="lt-LT"/>
        </w:rPr>
        <w:t>-</w:t>
      </w:r>
      <w:r>
        <w:rPr>
          <w:rFonts w:ascii="Times New Roman" w:hAnsi="Times New Roman"/>
          <w:lang w:val="lt-LT"/>
        </w:rPr>
        <w:tab/>
        <w:t>vaikams ir paaugliams iki 18 metų.</w:t>
      </w:r>
    </w:p>
    <w:p w:rsidR="00B1101E" w:rsidRDefault="00B1101E" w:rsidP="00B1101E">
      <w:pPr>
        <w:numPr>
          <w:ilvl w:val="12"/>
          <w:numId w:val="0"/>
        </w:numPr>
        <w:tabs>
          <w:tab w:val="left" w:pos="360"/>
          <w:tab w:val="left" w:pos="720"/>
        </w:tabs>
        <w:spacing w:after="0" w:line="240" w:lineRule="auto"/>
        <w:ind w:left="360" w:hanging="360"/>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Įspėjimai ir atsargumo priemonės</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Pasitarkite su gydytoju arba vaistininku, prieš pradėdami vartoti Thioctacid HR.</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autoSpaceDE w:val="0"/>
        <w:autoSpaceDN w:val="0"/>
        <w:adjustRightInd w:val="0"/>
        <w:spacing w:after="140" w:line="240" w:lineRule="auto"/>
        <w:rPr>
          <w:rFonts w:ascii="Times New Roman" w:hAnsi="Times New Roman"/>
          <w:color w:val="000000"/>
          <w:lang w:val="lt-LT"/>
        </w:rPr>
      </w:pPr>
      <w:r>
        <w:rPr>
          <w:rFonts w:ascii="Times New Roman" w:hAnsi="Times New Roman"/>
          <w:color w:val="000000"/>
          <w:lang w:val="lt-LT"/>
        </w:rPr>
        <w:t>G</w:t>
      </w:r>
      <w:r w:rsidRPr="004C533B">
        <w:rPr>
          <w:rFonts w:ascii="Times New Roman" w:hAnsi="Times New Roman"/>
          <w:color w:val="000000"/>
          <w:lang w:val="lt-LT"/>
        </w:rPr>
        <w:t>yd</w:t>
      </w:r>
      <w:r>
        <w:rPr>
          <w:rFonts w:ascii="Times New Roman" w:hAnsi="Times New Roman"/>
          <w:color w:val="000000"/>
          <w:lang w:val="lt-LT"/>
        </w:rPr>
        <w:t>ant</w:t>
      </w:r>
      <w:r w:rsidRPr="004C533B">
        <w:rPr>
          <w:rFonts w:ascii="Times New Roman" w:hAnsi="Times New Roman"/>
          <w:color w:val="000000"/>
          <w:lang w:val="lt-LT"/>
        </w:rPr>
        <w:t xml:space="preserve"> tiokto rūgštimi, tam tikro žmogaus leukocitų antigeno genotipo </w:t>
      </w:r>
      <w:r>
        <w:rPr>
          <w:rFonts w:ascii="Times New Roman" w:hAnsi="Times New Roman"/>
          <w:color w:val="000000"/>
          <w:lang w:val="lt-LT"/>
        </w:rPr>
        <w:t xml:space="preserve">(genų rinkinio) </w:t>
      </w:r>
      <w:r w:rsidRPr="004C533B">
        <w:rPr>
          <w:rFonts w:ascii="Times New Roman" w:hAnsi="Times New Roman"/>
          <w:color w:val="000000"/>
          <w:lang w:val="lt-LT"/>
        </w:rPr>
        <w:t>pacientai (toks genotipas dažniau pasitaiko tarp japonų ir korėjiečių, bet taip pat gali būti nustatytas europidų rasės pacientams) labiau linkę susirgti autoimuniniu insulino sindromu (gliukozės kiekį kraujyje reguliuojančių hormonų sutrikimu, dėl kurio labai sumažėja cukraus kiekis kraujyje).</w:t>
      </w:r>
    </w:p>
    <w:p w:rsidR="00B1101E" w:rsidRDefault="00B1101E" w:rsidP="00B1101E">
      <w:pPr>
        <w:spacing w:after="0" w:line="240" w:lineRule="auto"/>
        <w:rPr>
          <w:rFonts w:ascii="Times New Roman" w:hAnsi="Times New Roman"/>
          <w:lang w:val="lt-LT"/>
        </w:rPr>
      </w:pPr>
      <w:r>
        <w:rPr>
          <w:rFonts w:ascii="Times New Roman" w:hAnsi="Times New Roman"/>
          <w:lang w:val="lt-LT"/>
        </w:rPr>
        <w:t>Vartojant Thioctacid HR, Jūsų šlapimo kvapas gali pasikeisti, tačiau tai yra normalu ir nereikalauja jokio gydymo.</w:t>
      </w:r>
    </w:p>
    <w:p w:rsidR="00B1101E" w:rsidRDefault="00B1101E" w:rsidP="00B1101E">
      <w:pPr>
        <w:spacing w:after="0" w:line="240" w:lineRule="auto"/>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Kiti vaistai ir Thioctacid HR</w:t>
      </w:r>
    </w:p>
    <w:p w:rsidR="00B1101E" w:rsidRDefault="00B1101E" w:rsidP="00B1101E">
      <w:pPr>
        <w:spacing w:after="0" w:line="240" w:lineRule="auto"/>
        <w:rPr>
          <w:rFonts w:ascii="Times New Roman" w:hAnsi="Times New Roman"/>
          <w:lang w:val="lt-LT"/>
        </w:rPr>
      </w:pPr>
      <w:r>
        <w:rPr>
          <w:rFonts w:ascii="Times New Roman" w:hAnsi="Times New Roman"/>
          <w:lang w:val="lt-LT"/>
        </w:rPr>
        <w:t>Jeigu vartojate arba neseniai vartojote kitų vaistų arba dėl to nesate tikri, apie tai pasakykite gydytojui arba vaistininkui.</w:t>
      </w:r>
    </w:p>
    <w:p w:rsidR="00B1101E" w:rsidRDefault="00B1101E" w:rsidP="00B1101E">
      <w:pPr>
        <w:spacing w:after="0" w:line="240" w:lineRule="auto"/>
        <w:rPr>
          <w:rFonts w:ascii="Times New Roman" w:hAnsi="Times New Roman"/>
          <w:i/>
          <w:lang w:val="lt-LT"/>
        </w:rPr>
      </w:pPr>
      <w:r>
        <w:rPr>
          <w:rFonts w:ascii="Times New Roman" w:hAnsi="Times New Roman"/>
          <w:i/>
          <w:lang w:val="lt-LT"/>
        </w:rPr>
        <w:t>Cisplatina (vaistas vėžiui gydyti)</w:t>
      </w:r>
    </w:p>
    <w:p w:rsidR="00B1101E" w:rsidRDefault="00B1101E" w:rsidP="00B1101E">
      <w:pPr>
        <w:spacing w:after="0" w:line="240" w:lineRule="auto"/>
        <w:rPr>
          <w:rFonts w:ascii="Times New Roman" w:hAnsi="Times New Roman"/>
          <w:lang w:val="lt-LT"/>
        </w:rPr>
      </w:pPr>
      <w:r>
        <w:rPr>
          <w:rFonts w:ascii="Times New Roman" w:hAnsi="Times New Roman"/>
          <w:lang w:val="lt-LT"/>
        </w:rPr>
        <w:t>Thioctacid HR gali neutralizuoti kartu vartojamos cisplatinos poveikį.</w:t>
      </w: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i/>
          <w:lang w:val="lt-LT"/>
        </w:rPr>
      </w:pPr>
      <w:r>
        <w:rPr>
          <w:rFonts w:ascii="Times New Roman" w:hAnsi="Times New Roman"/>
          <w:i/>
          <w:lang w:val="lt-LT"/>
        </w:rPr>
        <w:t>Metalų junginiai</w:t>
      </w: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Tiokto rūgštis su metalais sudaro chelatus. Vaistą vartoti kartu su metalų junginiais (pvz., geležies ir magnio turinčiais vaistais, pieno produktais, nes jų sudėtyje yra kalcio) draudžiama. Jeigu Thioctacid HR išgeriama 30 min. prieš pusryčius, geležies ir magnio turinčius vaistus galima gerti per pietus arba vakare.</w:t>
      </w:r>
    </w:p>
    <w:p w:rsidR="00B1101E" w:rsidRDefault="00B1101E" w:rsidP="00B1101E">
      <w:pPr>
        <w:autoSpaceDE w:val="0"/>
        <w:autoSpaceDN w:val="0"/>
        <w:adjustRightInd w:val="0"/>
        <w:spacing w:after="0" w:line="240" w:lineRule="auto"/>
        <w:rPr>
          <w:rFonts w:ascii="Times New Roman" w:hAnsi="Times New Roman"/>
          <w:i/>
          <w:lang w:val="lt-LT"/>
        </w:rPr>
      </w:pPr>
    </w:p>
    <w:p w:rsidR="00B1101E" w:rsidRDefault="00B1101E" w:rsidP="00B1101E">
      <w:pPr>
        <w:autoSpaceDE w:val="0"/>
        <w:autoSpaceDN w:val="0"/>
        <w:adjustRightInd w:val="0"/>
        <w:spacing w:after="0" w:line="240" w:lineRule="auto"/>
        <w:rPr>
          <w:rFonts w:ascii="Times New Roman" w:hAnsi="Times New Roman"/>
          <w:u w:val="single"/>
          <w:lang w:val="lt-LT"/>
        </w:rPr>
      </w:pPr>
      <w:r>
        <w:rPr>
          <w:rFonts w:ascii="Times New Roman" w:hAnsi="Times New Roman"/>
          <w:i/>
          <w:lang w:val="lt-LT"/>
        </w:rPr>
        <w:t>Vaistai cukriniam diabetui gydyti</w:t>
      </w: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Thioctacid HR gali sustiprinti kartu vartojamų insulino ir geriamųjų vaistų nuo diabeto gliukozės koncentraciją kraujyje mažinantį poveikį, todėl rekomenduojama reguliariai tikrinti gliukozės koncentraciją kraujyje, ypač gydymo Thioctacid HR pradžioje. Kad būtų išvengta gliukozės stokos simptomų (hipoglikemijos), pavieniais atvejais būtina mažinti insulino arba geriamųjų vaistų nuo diabeto dozę, tai padarys Jūsų gydytojas.</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Thioctacid HR vartojimas su maistu, gėrimais ir alkoholiu</w:t>
      </w:r>
    </w:p>
    <w:p w:rsidR="00B1101E" w:rsidRDefault="00B1101E" w:rsidP="00B1101E">
      <w:pPr>
        <w:spacing w:after="0" w:line="240" w:lineRule="auto"/>
        <w:ind w:left="567" w:hanging="567"/>
        <w:rPr>
          <w:rFonts w:ascii="Times New Roman" w:hAnsi="Times New Roman"/>
          <w:u w:val="single"/>
          <w:lang w:val="lt-LT"/>
        </w:rPr>
      </w:pPr>
    </w:p>
    <w:p w:rsidR="00B1101E" w:rsidRDefault="00B1101E" w:rsidP="00B1101E">
      <w:pPr>
        <w:spacing w:after="0" w:line="240" w:lineRule="auto"/>
        <w:ind w:left="567" w:hanging="567"/>
        <w:rPr>
          <w:rFonts w:ascii="Times New Roman" w:hAnsi="Times New Roman"/>
          <w:u w:val="single"/>
          <w:lang w:val="lt-LT"/>
        </w:rPr>
      </w:pPr>
      <w:r>
        <w:rPr>
          <w:rFonts w:ascii="Times New Roman" w:hAnsi="Times New Roman"/>
          <w:u w:val="single"/>
          <w:lang w:val="lt-LT"/>
        </w:rPr>
        <w:t>Alkoholis</w:t>
      </w: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Reguliarus alkoholio vartojimas gali sumažinti Thioctacid HR veiksmingumą, todėl rekomenduojama nevartoti alkoholio. Toks nurodymas tinka ir tada, kai Thioctacid HR nevartojama.</w:t>
      </w: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u w:val="single"/>
          <w:lang w:val="lt-LT"/>
        </w:rPr>
      </w:pPr>
      <w:r>
        <w:rPr>
          <w:rFonts w:ascii="Times New Roman" w:hAnsi="Times New Roman"/>
          <w:u w:val="single"/>
          <w:lang w:val="lt-LT"/>
        </w:rPr>
        <w:t>Pienas ir pieno produktai</w:t>
      </w: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Kartu vartojamas pienas ir pieno produktai gali mažinti tiokto rūgšties pasisavinimą, todėl rekomenduojama visą paros dozę išgerti pusę valandos prieš pusryčius ir nevartoti pieno ar kokių nors pieno produktų iki pietų.</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Nėštumas ir žindymo laikotarpis</w:t>
      </w:r>
    </w:p>
    <w:p w:rsidR="00B1101E" w:rsidRDefault="00B1101E" w:rsidP="00B1101E">
      <w:pPr>
        <w:spacing w:after="0" w:line="240" w:lineRule="auto"/>
        <w:rPr>
          <w:rFonts w:ascii="Times New Roman" w:hAnsi="Times New Roman"/>
          <w:lang w:val="lt-LT"/>
        </w:rPr>
      </w:pPr>
      <w:r>
        <w:rPr>
          <w:rFonts w:ascii="Times New Roman" w:hAnsi="Times New Roman"/>
          <w:lang w:val="lt-LT"/>
        </w:rPr>
        <w:t>Jeigu esate nėščia, žindote kūdikį, manote, kad galbūt esate nėščia, arba planuojate pastoti, tai prieš vartodama šį vaistą, pasitarkite su gydytoju arba vaistininku.</w:t>
      </w: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Duomenų apie tiokto rūgšties vartojimą nėštumo metu nėra, todėl nėščiosioms šio vaisto vartoti galima tik paskyrus ir prižiūrint gydytojui.</w:t>
      </w:r>
    </w:p>
    <w:p w:rsidR="00B1101E" w:rsidRDefault="00B1101E" w:rsidP="00B1101E">
      <w:pPr>
        <w:spacing w:after="0" w:line="240" w:lineRule="auto"/>
        <w:rPr>
          <w:rFonts w:ascii="Times New Roman" w:hAnsi="Times New Roman"/>
          <w:b/>
          <w:lang w:val="lt-LT"/>
        </w:rPr>
      </w:pP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Duomenų apie tiokto rūgšties vartojimą žindymo laikotarpiu nėra, todėl žindyvėms šio vaisto vartoti galima tik paskyrus ir prižiūrint gydytojui.</w:t>
      </w: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Ar tiokto rūgšties patenka į motinos pieną, nežinoma.</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Vairavimas ir mechanizmų valdymas</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Atsiradęs svaigulys gali paveikti gebėjimą vairuoti, valdyti mechanizmus ir (arba) atlikti darbus nestabilioje aplinkoje.</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lang w:val="lt-LT"/>
        </w:rPr>
      </w:pPr>
    </w:p>
    <w:p w:rsidR="00B1101E" w:rsidRDefault="00B1101E" w:rsidP="00B1101E">
      <w:pPr>
        <w:numPr>
          <w:ilvl w:val="12"/>
          <w:numId w:val="0"/>
        </w:numPr>
        <w:spacing w:after="0" w:line="240" w:lineRule="auto"/>
        <w:ind w:left="567" w:hanging="567"/>
        <w:outlineLvl w:val="0"/>
        <w:rPr>
          <w:rFonts w:ascii="Times New Roman" w:hAnsi="Times New Roman"/>
          <w:b/>
          <w:lang w:val="lt-LT"/>
        </w:rPr>
      </w:pPr>
      <w:r>
        <w:rPr>
          <w:rFonts w:ascii="Times New Roman" w:hAnsi="Times New Roman"/>
          <w:b/>
          <w:lang w:val="lt-LT"/>
        </w:rPr>
        <w:t>3.</w:t>
      </w:r>
      <w:r>
        <w:rPr>
          <w:rFonts w:ascii="Times New Roman" w:hAnsi="Times New Roman"/>
          <w:b/>
          <w:lang w:val="lt-LT"/>
        </w:rPr>
        <w:tab/>
        <w:t>Kaip vartoti Thioctacid HR</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Visada vartokite šį vaistą tiksliai kaip nurodė gydytojas. Jeigu abejojate, kreipkitės į gydytoją arba vaistininką.</w:t>
      </w: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Jeigu nepaskirta kitaip, geriama po vieną Thioctacid HR tabletę vieną kartą per parą. Kai simptomai sunkūs, iš pradžių gali būti skiriama tiokto rūgšties infuzija.</w:t>
      </w: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Thioctacid HR plėvele dengtą tabletę reikia nuryti nesukramtytą, nevalgius (paprastai prieš pusryčius), užgeriant pakankamu kiekiu skysčio.</w:t>
      </w: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Kartu su vaistu vartojamas maistas gali mažinti tiokto rūgšties pasisavinimą, todėl labai svarbu visą paros dozę išgerti pusę valandos prieš pusryčius.</w:t>
      </w: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i/>
          <w:lang w:val="lt-LT"/>
        </w:rPr>
        <w:t>Gydymo trukmė</w:t>
      </w: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lang w:val="lt-LT"/>
        </w:rPr>
        <w:t xml:space="preserve">Diabetinė neuropatija </w:t>
      </w:r>
      <w:r>
        <w:rPr>
          <w:rFonts w:ascii="Times New Roman" w:hAnsi="Times New Roman"/>
          <w:lang w:val="lt-LT"/>
        </w:rPr>
        <w:noBreakHyphen/>
        <w:t xml:space="preserve"> lėtinė liga, todėl gali prireikti nuolat vartoti Thioctacid HR. Gydymo trukmę nustato gydytojas.</w:t>
      </w: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spacing w:after="0" w:line="240" w:lineRule="auto"/>
        <w:rPr>
          <w:rFonts w:ascii="Times New Roman" w:hAnsi="Times New Roman"/>
          <w:lang w:val="lt-LT"/>
        </w:rPr>
      </w:pPr>
      <w:r>
        <w:rPr>
          <w:rFonts w:ascii="Times New Roman" w:hAnsi="Times New Roman"/>
          <w:lang w:val="lt-LT"/>
        </w:rPr>
        <w:t>Jeigu manote, kad Thioctacid HR veikia per stipriai arba per silpnai, kreipkitės į gydytoją arba vaistininką.</w:t>
      </w:r>
    </w:p>
    <w:p w:rsidR="00B1101E" w:rsidRDefault="00B1101E" w:rsidP="00B1101E">
      <w:pPr>
        <w:autoSpaceDE w:val="0"/>
        <w:autoSpaceDN w:val="0"/>
        <w:adjustRightInd w:val="0"/>
        <w:spacing w:after="0" w:line="240" w:lineRule="auto"/>
        <w:ind w:firstLine="720"/>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Ką daryti pavartojus per didelę Thioctacid HR dozę?</w:t>
      </w:r>
    </w:p>
    <w:p w:rsidR="00B1101E" w:rsidRDefault="00B1101E" w:rsidP="00B1101E">
      <w:pPr>
        <w:spacing w:after="0" w:line="240" w:lineRule="auto"/>
        <w:rPr>
          <w:rFonts w:ascii="Times New Roman" w:hAnsi="Times New Roman"/>
          <w:lang w:val="lt-LT"/>
        </w:rPr>
      </w:pPr>
      <w:r>
        <w:rPr>
          <w:rFonts w:ascii="Times New Roman" w:hAnsi="Times New Roman"/>
          <w:lang w:val="lt-LT"/>
        </w:rPr>
        <w:t>Jeigu manote, kad pavartojote per daug tablečių (pvz., daugiau negu 10 tablečių) ar netyčia vaikas išgėrė šių tablečių (daugiau nei 50 mg/kg kūno svorio), nedelsiant kreipkitės į artimiausią ligoninę.</w:t>
      </w:r>
    </w:p>
    <w:p w:rsidR="00B1101E" w:rsidRDefault="00B1101E" w:rsidP="00B1101E">
      <w:pPr>
        <w:spacing w:after="0" w:line="240" w:lineRule="auto"/>
        <w:rPr>
          <w:rFonts w:ascii="Times New Roman" w:hAnsi="Times New Roman"/>
          <w:lang w:val="lt-LT"/>
        </w:rPr>
      </w:pPr>
      <w:r>
        <w:rPr>
          <w:rFonts w:ascii="Times New Roman" w:hAnsi="Times New Roman"/>
          <w:lang w:val="lt-LT"/>
        </w:rPr>
        <w:t>Perdozavus vaisto gali atsirasti pykinimas, vėmimas ar galvos skausmas.</w:t>
      </w:r>
    </w:p>
    <w:p w:rsidR="00B1101E" w:rsidRDefault="00B1101E" w:rsidP="00B1101E">
      <w:pPr>
        <w:spacing w:after="0" w:line="240" w:lineRule="auto"/>
        <w:rPr>
          <w:rFonts w:ascii="Times New Roman" w:hAnsi="Times New Roman"/>
          <w:lang w:val="lt-LT"/>
        </w:rPr>
      </w:pPr>
    </w:p>
    <w:p w:rsidR="00B1101E" w:rsidRDefault="00B1101E" w:rsidP="00B1101E">
      <w:pPr>
        <w:spacing w:after="0" w:line="240" w:lineRule="auto"/>
        <w:rPr>
          <w:rFonts w:ascii="Times New Roman" w:hAnsi="Times New Roman"/>
          <w:lang w:val="lt-LT"/>
        </w:rPr>
      </w:pPr>
      <w:r>
        <w:rPr>
          <w:rFonts w:ascii="Times New Roman" w:hAnsi="Times New Roman"/>
          <w:lang w:val="lt-LT"/>
        </w:rPr>
        <w:t>Pavieniais atvejais, išgėrus didesnę kaip 10 g tiokto rūgšties dozę, ypač kartu su alkoholiu, nustatyta sunkių, kartais net gyvybei pavojingų, apsinuodijimo simptomų: generalizuotų traukulių, sunkių rūgščių ir šarmų pusiausvyros sutrikimų, sukeliančių kraujo parūgštėjimą, sunkių kraujo krešėjimo sutrikimų.</w:t>
      </w:r>
    </w:p>
    <w:p w:rsidR="00B1101E" w:rsidRDefault="00B1101E" w:rsidP="00B1101E">
      <w:pPr>
        <w:spacing w:after="0" w:line="240" w:lineRule="auto"/>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Pamiršus pavartoti Thioctacid HR</w:t>
      </w:r>
    </w:p>
    <w:p w:rsidR="00B1101E" w:rsidRPr="00A0132E" w:rsidRDefault="00B1101E" w:rsidP="00B1101E">
      <w:pPr>
        <w:spacing w:after="0" w:line="240" w:lineRule="auto"/>
        <w:ind w:left="567" w:hanging="567"/>
        <w:rPr>
          <w:rFonts w:ascii="Times New Roman" w:hAnsi="Times New Roman"/>
          <w:noProof/>
          <w:szCs w:val="24"/>
          <w:lang w:val="lt-LT"/>
        </w:rPr>
      </w:pPr>
      <w:r w:rsidRPr="00A0132E">
        <w:rPr>
          <w:rFonts w:ascii="Times New Roman" w:hAnsi="Times New Roman"/>
          <w:noProof/>
          <w:szCs w:val="24"/>
          <w:lang w:val="lt-LT"/>
        </w:rPr>
        <w:t xml:space="preserve">Negalima vartoti dvigubos dozės norint kompensuoti praleistą </w:t>
      </w:r>
      <w:r>
        <w:rPr>
          <w:rFonts w:ascii="Times New Roman" w:hAnsi="Times New Roman"/>
          <w:noProof/>
          <w:szCs w:val="24"/>
          <w:lang w:val="lt-LT"/>
        </w:rPr>
        <w:t>tabletę.</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Nustojus vartoti Thioctacid HR</w:t>
      </w:r>
    </w:p>
    <w:p w:rsidR="00B1101E" w:rsidRDefault="00B1101E" w:rsidP="00B1101E">
      <w:pPr>
        <w:spacing w:after="0" w:line="240" w:lineRule="auto"/>
        <w:rPr>
          <w:rFonts w:ascii="Times New Roman" w:hAnsi="Times New Roman"/>
          <w:lang w:val="lt-LT"/>
        </w:rPr>
      </w:pPr>
      <w:r>
        <w:rPr>
          <w:rFonts w:ascii="Times New Roman" w:hAnsi="Times New Roman"/>
          <w:lang w:val="lt-LT"/>
        </w:rPr>
        <w:t>Nenutraukite Thioctacid HR vartojimo, prieš tai nepasitarę su gydytoju, kitaip Jūsų ligos simptomai gali pablogėti.</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Jeigu kiltų daugiau klausimų dėl šio vaisto vartojimo, kreipkitės į gydytoją arba vaistininką.</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lang w:val="lt-LT"/>
        </w:rPr>
      </w:pPr>
    </w:p>
    <w:p w:rsidR="00B1101E" w:rsidRDefault="00B1101E" w:rsidP="00B1101E">
      <w:pPr>
        <w:numPr>
          <w:ilvl w:val="12"/>
          <w:numId w:val="0"/>
        </w:numPr>
        <w:spacing w:after="0" w:line="240" w:lineRule="auto"/>
        <w:ind w:left="567" w:hanging="567"/>
        <w:outlineLvl w:val="0"/>
        <w:rPr>
          <w:rFonts w:ascii="Times New Roman" w:hAnsi="Times New Roman"/>
          <w:b/>
          <w:caps/>
          <w:lang w:val="lt-LT"/>
        </w:rPr>
      </w:pPr>
      <w:r>
        <w:rPr>
          <w:rFonts w:ascii="Times New Roman" w:hAnsi="Times New Roman"/>
          <w:b/>
          <w:lang w:val="lt-LT"/>
        </w:rPr>
        <w:t>4.</w:t>
      </w:r>
      <w:r>
        <w:rPr>
          <w:rFonts w:ascii="Times New Roman" w:hAnsi="Times New Roman"/>
          <w:b/>
          <w:lang w:val="lt-LT"/>
        </w:rPr>
        <w:tab/>
        <w:t>Galimas šalutinis poveikis</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rPr>
          <w:rFonts w:ascii="Times New Roman" w:hAnsi="Times New Roman"/>
          <w:lang w:val="lt-LT"/>
        </w:rPr>
      </w:pPr>
      <w:r>
        <w:rPr>
          <w:rFonts w:ascii="Times New Roman" w:hAnsi="Times New Roman"/>
          <w:lang w:val="lt-LT"/>
        </w:rPr>
        <w:t>Šis vaistas, kaip ir visi kiti, gali sukelti šalutinį poveikį, nors jis pasireiškia ne visiems žmonėms.</w:t>
      </w:r>
    </w:p>
    <w:p w:rsidR="00B1101E" w:rsidRDefault="00B1101E" w:rsidP="00B1101E">
      <w:pPr>
        <w:spacing w:after="0" w:line="240" w:lineRule="auto"/>
        <w:ind w:left="567" w:hanging="567"/>
        <w:rPr>
          <w:rFonts w:ascii="Times New Roman" w:hAnsi="Times New Roman"/>
          <w:lang w:val="lt-LT"/>
        </w:rPr>
      </w:pPr>
    </w:p>
    <w:p w:rsidR="00B1101E" w:rsidRPr="004C533B" w:rsidRDefault="00B1101E" w:rsidP="00B1101E">
      <w:pPr>
        <w:spacing w:after="0" w:line="240" w:lineRule="auto"/>
        <w:rPr>
          <w:rFonts w:ascii="Times New Roman" w:hAnsi="Times New Roman"/>
          <w:b/>
          <w:noProof/>
          <w:lang w:val="pl-PL"/>
        </w:rPr>
      </w:pPr>
      <w:r w:rsidRPr="004C533B">
        <w:rPr>
          <w:rFonts w:ascii="Times New Roman" w:hAnsi="Times New Roman"/>
          <w:b/>
          <w:noProof/>
          <w:lang w:val="pl-PL"/>
        </w:rPr>
        <w:t>Dėmesio!</w:t>
      </w:r>
    </w:p>
    <w:p w:rsidR="00B1101E" w:rsidRDefault="00B1101E" w:rsidP="00B1101E">
      <w:pPr>
        <w:spacing w:after="0" w:line="240" w:lineRule="auto"/>
        <w:rPr>
          <w:rFonts w:ascii="Times New Roman" w:hAnsi="Times New Roman"/>
          <w:noProof/>
          <w:lang w:val="pl-PL"/>
        </w:rPr>
      </w:pPr>
      <w:r>
        <w:rPr>
          <w:rFonts w:ascii="Times New Roman" w:hAnsi="Times New Roman"/>
          <w:noProof/>
          <w:lang w:val="pl-PL"/>
        </w:rPr>
        <w:t xml:space="preserve">Jeigu pasireiškė bent vienas iš žemiau išvardytų šalutinių poveikių, </w:t>
      </w:r>
      <w:r>
        <w:rPr>
          <w:rFonts w:ascii="Times New Roman" w:hAnsi="Times New Roman"/>
          <w:noProof/>
          <w:u w:val="single"/>
          <w:lang w:val="pl-PL"/>
        </w:rPr>
        <w:t>nedelsiant nustokite</w:t>
      </w:r>
      <w:r>
        <w:rPr>
          <w:rFonts w:ascii="Times New Roman" w:hAnsi="Times New Roman"/>
          <w:noProof/>
          <w:lang w:val="pl-PL"/>
        </w:rPr>
        <w:t xml:space="preserve"> vartoti Thioctacid HR ir kreipkitės į gydytoją, kuris nustatys, ar nepageidaujamas poveikis sunkus, ir nuspręs, kokių priemonių reikia imtis.</w:t>
      </w:r>
    </w:p>
    <w:p w:rsidR="00B1101E" w:rsidRDefault="00B1101E" w:rsidP="00B1101E">
      <w:pPr>
        <w:spacing w:after="0" w:line="240" w:lineRule="auto"/>
        <w:rPr>
          <w:rFonts w:ascii="Times New Roman" w:hAnsi="Times New Roman"/>
          <w:i/>
          <w:lang w:val="lt-LT"/>
        </w:rPr>
      </w:pPr>
    </w:p>
    <w:p w:rsidR="00B1101E" w:rsidRDefault="00B1101E" w:rsidP="00B1101E">
      <w:pPr>
        <w:spacing w:after="0" w:line="240" w:lineRule="auto"/>
        <w:rPr>
          <w:rFonts w:ascii="Times New Roman" w:hAnsi="Times New Roman"/>
          <w:i/>
          <w:lang w:val="lt-LT"/>
        </w:rPr>
      </w:pPr>
      <w:r>
        <w:rPr>
          <w:rFonts w:ascii="Times New Roman" w:hAnsi="Times New Roman"/>
          <w:i/>
          <w:lang w:val="lt-LT"/>
        </w:rPr>
        <w:t>Dažni šalutiniai poveikiai</w:t>
      </w:r>
      <w:r>
        <w:rPr>
          <w:rFonts w:ascii="Times New Roman" w:hAnsi="Times New Roman"/>
          <w:lang w:val="lt-LT"/>
        </w:rPr>
        <w:t xml:space="preserve"> </w:t>
      </w:r>
      <w:r>
        <w:rPr>
          <w:rFonts w:ascii="Times New Roman" w:hAnsi="Times New Roman"/>
          <w:i/>
          <w:lang w:val="lt-LT"/>
        </w:rPr>
        <w:t>(gali pasireikšti dažniau kaip 1 iš 10 vartojusiųjų)</w:t>
      </w:r>
    </w:p>
    <w:p w:rsidR="00B1101E" w:rsidRDefault="00B1101E" w:rsidP="00B1101E">
      <w:pPr>
        <w:spacing w:after="0" w:line="240" w:lineRule="auto"/>
        <w:rPr>
          <w:rFonts w:ascii="Times New Roman" w:hAnsi="Times New Roman"/>
          <w:lang w:val="lt-LT"/>
        </w:rPr>
      </w:pPr>
      <w:r>
        <w:rPr>
          <w:rFonts w:ascii="Times New Roman" w:hAnsi="Times New Roman"/>
          <w:lang w:val="lt-LT"/>
        </w:rPr>
        <w:t>Galvos svaigimas.</w:t>
      </w:r>
    </w:p>
    <w:p w:rsidR="00B1101E" w:rsidRDefault="00B1101E" w:rsidP="00B1101E">
      <w:pPr>
        <w:spacing w:after="0" w:line="240" w:lineRule="auto"/>
        <w:rPr>
          <w:rFonts w:ascii="Times New Roman" w:hAnsi="Times New Roman"/>
          <w:lang w:val="lt-LT"/>
        </w:rPr>
      </w:pPr>
      <w:r>
        <w:rPr>
          <w:rFonts w:ascii="Times New Roman" w:hAnsi="Times New Roman"/>
          <w:lang w:val="lt-LT"/>
        </w:rPr>
        <w:t>Pykinimas.</w:t>
      </w:r>
    </w:p>
    <w:p w:rsidR="00B1101E" w:rsidRDefault="00B1101E" w:rsidP="00B1101E">
      <w:pPr>
        <w:spacing w:after="0" w:line="240" w:lineRule="auto"/>
        <w:rPr>
          <w:rFonts w:ascii="Times New Roman" w:hAnsi="Times New Roman"/>
          <w:i/>
          <w:lang w:val="lt-LT"/>
        </w:rPr>
      </w:pPr>
    </w:p>
    <w:p w:rsidR="00B1101E" w:rsidRDefault="00B1101E" w:rsidP="00B1101E">
      <w:pPr>
        <w:spacing w:after="0" w:line="240" w:lineRule="auto"/>
        <w:rPr>
          <w:rFonts w:ascii="Times New Roman" w:hAnsi="Times New Roman"/>
          <w:i/>
          <w:lang w:val="lt-LT"/>
        </w:rPr>
      </w:pPr>
      <w:r>
        <w:rPr>
          <w:rFonts w:ascii="Times New Roman" w:hAnsi="Times New Roman"/>
          <w:i/>
          <w:lang w:val="lt-LT"/>
        </w:rPr>
        <w:t>Labai reti šalutiniai poveikiai (gali pasireikšti r</w:t>
      </w:r>
      <w:r>
        <w:rPr>
          <w:rFonts w:ascii="Times New Roman" w:hAnsi="Times New Roman"/>
          <w:i/>
          <w:snapToGrid w:val="0"/>
          <w:lang w:val="lt-LT"/>
        </w:rPr>
        <w:t xml:space="preserve">ečiau kaip </w:t>
      </w:r>
      <w:r>
        <w:rPr>
          <w:rFonts w:ascii="Times New Roman" w:hAnsi="Times New Roman"/>
          <w:i/>
          <w:lang w:val="lt-LT"/>
        </w:rPr>
        <w:t>1 iš 10000 vartojusiųjų)</w:t>
      </w:r>
    </w:p>
    <w:p w:rsidR="00B1101E" w:rsidRDefault="00B1101E" w:rsidP="00B1101E">
      <w:pPr>
        <w:spacing w:after="0" w:line="240" w:lineRule="auto"/>
        <w:rPr>
          <w:rFonts w:ascii="Times New Roman" w:hAnsi="Times New Roman"/>
          <w:lang w:val="lt-LT"/>
        </w:rPr>
      </w:pPr>
      <w:r>
        <w:rPr>
          <w:rFonts w:ascii="Times New Roman" w:hAnsi="Times New Roman"/>
          <w:lang w:val="lt-LT"/>
        </w:rPr>
        <w:t>Vėmimas.</w:t>
      </w:r>
    </w:p>
    <w:p w:rsidR="00B1101E" w:rsidRDefault="00B1101E" w:rsidP="00B1101E">
      <w:pPr>
        <w:spacing w:after="0" w:line="240" w:lineRule="auto"/>
        <w:rPr>
          <w:rFonts w:ascii="Times New Roman" w:hAnsi="Times New Roman"/>
          <w:lang w:val="lt-LT"/>
        </w:rPr>
      </w:pPr>
      <w:r>
        <w:rPr>
          <w:rFonts w:ascii="Times New Roman" w:hAnsi="Times New Roman"/>
          <w:lang w:val="lt-LT"/>
        </w:rPr>
        <w:t>Skrandžio ir (arba) pilvo skausmas.</w:t>
      </w:r>
    </w:p>
    <w:p w:rsidR="00B1101E" w:rsidRDefault="00B1101E" w:rsidP="00B1101E">
      <w:pPr>
        <w:spacing w:after="0" w:line="240" w:lineRule="auto"/>
        <w:rPr>
          <w:rFonts w:ascii="Times New Roman" w:hAnsi="Times New Roman"/>
          <w:lang w:val="lt-LT"/>
        </w:rPr>
      </w:pPr>
      <w:r>
        <w:rPr>
          <w:rFonts w:ascii="Times New Roman" w:hAnsi="Times New Roman"/>
          <w:lang w:val="lt-LT"/>
        </w:rPr>
        <w:t>Viduriavimas.</w:t>
      </w:r>
    </w:p>
    <w:p w:rsidR="00B1101E" w:rsidRDefault="00B1101E" w:rsidP="00B1101E">
      <w:pPr>
        <w:spacing w:after="0" w:line="240" w:lineRule="auto"/>
        <w:rPr>
          <w:rFonts w:ascii="Times New Roman" w:hAnsi="Times New Roman"/>
          <w:lang w:val="lt-LT"/>
        </w:rPr>
      </w:pPr>
      <w:r>
        <w:rPr>
          <w:rFonts w:ascii="Times New Roman" w:hAnsi="Times New Roman"/>
          <w:lang w:val="lt-LT"/>
        </w:rPr>
        <w:t>Skonio jutimo sutrikimas.</w:t>
      </w:r>
    </w:p>
    <w:p w:rsidR="00B1101E" w:rsidRDefault="00B1101E" w:rsidP="00B1101E">
      <w:pPr>
        <w:spacing w:after="0" w:line="240" w:lineRule="auto"/>
        <w:rPr>
          <w:rFonts w:ascii="Times New Roman" w:hAnsi="Times New Roman"/>
          <w:lang w:val="lt-LT"/>
        </w:rPr>
      </w:pPr>
      <w:r>
        <w:rPr>
          <w:rFonts w:ascii="Times New Roman" w:hAnsi="Times New Roman"/>
          <w:lang w:val="lt-LT"/>
        </w:rPr>
        <w:t>Alerginės reakcijos (odos išbėrimas, dilgėlinė, niežulys).</w:t>
      </w:r>
    </w:p>
    <w:p w:rsidR="00B1101E" w:rsidRDefault="00B1101E" w:rsidP="00B1101E">
      <w:pPr>
        <w:spacing w:after="0" w:line="240" w:lineRule="auto"/>
        <w:rPr>
          <w:rFonts w:ascii="Times New Roman" w:hAnsi="Times New Roman"/>
          <w:lang w:val="lt-LT"/>
        </w:rPr>
      </w:pPr>
      <w:r>
        <w:rPr>
          <w:rFonts w:ascii="Times New Roman" w:hAnsi="Times New Roman"/>
          <w:lang w:val="lt-LT"/>
        </w:rPr>
        <w:t>Gliukozės koncentracijos kraujyje sumažėjimas, lydimas į hipoglikemiją panašių simptomų, pavyzdžiui, galvos svaigimo, smarkesnio prakaitavimo, galvos skausmo ir regos sutrikimų.</w:t>
      </w:r>
    </w:p>
    <w:p w:rsidR="00B1101E" w:rsidRDefault="00B1101E" w:rsidP="00B1101E">
      <w:pPr>
        <w:spacing w:after="0" w:line="240" w:lineRule="auto"/>
        <w:rPr>
          <w:rFonts w:ascii="Times New Roman" w:hAnsi="Times New Roman"/>
          <w:lang w:val="lt-LT"/>
        </w:rPr>
      </w:pPr>
    </w:p>
    <w:p w:rsidR="00B1101E" w:rsidRDefault="00B1101E" w:rsidP="00B1101E">
      <w:pPr>
        <w:autoSpaceDE w:val="0"/>
        <w:spacing w:line="240" w:lineRule="auto"/>
        <w:rPr>
          <w:rFonts w:ascii="Times New Roman" w:hAnsi="Times New Roman"/>
          <w:i/>
          <w:lang w:val="lt-LT"/>
        </w:rPr>
      </w:pPr>
      <w:r>
        <w:rPr>
          <w:rFonts w:ascii="Times New Roman" w:hAnsi="Times New Roman"/>
          <w:i/>
          <w:color w:val="000000"/>
          <w:lang w:val="lt-LT"/>
        </w:rPr>
        <w:t>Šalutinis poveikis, kurio d</w:t>
      </w:r>
      <w:r w:rsidRPr="004C533B">
        <w:rPr>
          <w:rFonts w:ascii="Times New Roman" w:hAnsi="Times New Roman"/>
          <w:i/>
          <w:color w:val="000000"/>
          <w:lang w:val="lt-LT"/>
        </w:rPr>
        <w:t xml:space="preserve">ažnis nežinomas </w:t>
      </w:r>
      <w:r>
        <w:rPr>
          <w:rFonts w:ascii="Times New Roman" w:hAnsi="Times New Roman"/>
          <w:i/>
          <w:lang w:val="lt-LT"/>
        </w:rPr>
        <w:t>(negali būti apskaičiuotas pagal turimus duomenis)</w:t>
      </w:r>
    </w:p>
    <w:p w:rsidR="00B1101E" w:rsidRDefault="00B1101E" w:rsidP="00B1101E">
      <w:pPr>
        <w:autoSpaceDE w:val="0"/>
        <w:spacing w:line="240" w:lineRule="auto"/>
        <w:rPr>
          <w:rFonts w:ascii="Times New Roman" w:hAnsi="Times New Roman"/>
          <w:color w:val="000000"/>
          <w:lang w:val="lt-LT"/>
        </w:rPr>
      </w:pPr>
      <w:r>
        <w:rPr>
          <w:rFonts w:ascii="Times New Roman" w:hAnsi="Times New Roman"/>
          <w:color w:val="000000"/>
          <w:lang w:val="lt-LT"/>
        </w:rPr>
        <w:t>Gliukozės kiekį kraujyje reguliuojančių hormonų sutrikimas, dėl kurio labai sumažėja cukraus kiekis kraujyje (autoimuninis insulino sindromas).</w:t>
      </w:r>
    </w:p>
    <w:p w:rsidR="00B1101E" w:rsidRPr="00C95A2C" w:rsidRDefault="00B1101E" w:rsidP="00B1101E">
      <w:pPr>
        <w:tabs>
          <w:tab w:val="left" w:pos="567"/>
        </w:tabs>
        <w:spacing w:after="0" w:line="240" w:lineRule="auto"/>
        <w:jc w:val="both"/>
        <w:rPr>
          <w:rFonts w:ascii="Times New Roman" w:eastAsia="Times New Roman" w:hAnsi="Times New Roman"/>
          <w:b/>
          <w:snapToGrid w:val="0"/>
          <w:szCs w:val="24"/>
          <w:lang w:val="lt-LT"/>
        </w:rPr>
      </w:pPr>
      <w:r w:rsidRPr="00C95A2C">
        <w:rPr>
          <w:rFonts w:ascii="Times New Roman" w:eastAsia="Times New Roman" w:hAnsi="Times New Roman"/>
          <w:b/>
          <w:noProof/>
          <w:snapToGrid w:val="0"/>
          <w:szCs w:val="24"/>
          <w:lang w:val="lt-LT"/>
        </w:rPr>
        <w:t>Pranešimas apie šalutinį poveikį</w:t>
      </w:r>
    </w:p>
    <w:p w:rsidR="00B1101E" w:rsidRPr="00C95A2C" w:rsidRDefault="00B1101E" w:rsidP="00B1101E">
      <w:pPr>
        <w:tabs>
          <w:tab w:val="left" w:pos="567"/>
        </w:tabs>
        <w:spacing w:after="0" w:line="260" w:lineRule="exact"/>
        <w:ind w:right="-449"/>
        <w:jc w:val="both"/>
        <w:rPr>
          <w:rFonts w:ascii="Times New Roman" w:eastAsia="Times New Roman" w:hAnsi="Times New Roman"/>
          <w:noProof/>
          <w:snapToGrid w:val="0"/>
          <w:szCs w:val="24"/>
          <w:lang w:val="lt-LT"/>
        </w:rPr>
      </w:pPr>
      <w:r w:rsidRPr="00C95A2C">
        <w:rPr>
          <w:rFonts w:ascii="Times New Roman" w:eastAsia="Times New Roman" w:hAnsi="Times New Roman"/>
          <w:snapToGrid w:val="0"/>
          <w:szCs w:val="20"/>
          <w:lang w:val="lt-LT"/>
        </w:rPr>
        <w:t>Jeigu pasireiškė šalutinis poveikis, įskaitant šiame lapelyje nenurodytą, pas</w:t>
      </w:r>
      <w:r>
        <w:rPr>
          <w:rFonts w:ascii="Times New Roman" w:eastAsia="Times New Roman" w:hAnsi="Times New Roman"/>
          <w:snapToGrid w:val="0"/>
          <w:szCs w:val="20"/>
          <w:lang w:val="lt-LT"/>
        </w:rPr>
        <w:t>akykite gydytojui arba vaistininkui</w:t>
      </w:r>
      <w:r w:rsidRPr="00C95A2C">
        <w:rPr>
          <w:rFonts w:ascii="Times New Roman" w:eastAsia="Times New Roman" w:hAnsi="Times New Roman"/>
          <w:snapToGrid w:val="0"/>
          <w:szCs w:val="20"/>
          <w:lang w:val="lt-LT"/>
        </w:rPr>
        <w:t>. Apie šalutinį poveikį taip pat galite pranešti Valstybinei vaistų kontrolės tarnybai prie Lietuvos Respublikos sveikatos apsaugos ministerijos nemokamu t</w:t>
      </w:r>
      <w:r w:rsidRPr="00C95A2C">
        <w:rPr>
          <w:rFonts w:ascii="Times New Roman" w:eastAsia="Times New Roman" w:hAnsi="Times New Roman"/>
          <w:snapToGrid w:val="0"/>
          <w:szCs w:val="20"/>
          <w:lang w:val="lt-LT" w:eastAsia="zh-CN"/>
        </w:rPr>
        <w:t>elefonu 8 800 73568</w:t>
      </w:r>
      <w:r w:rsidRPr="00C95A2C">
        <w:rPr>
          <w:rFonts w:ascii="Times New Roman" w:eastAsia="Times New Roman" w:hAnsi="Times New Roman"/>
          <w:snapToGrid w:val="0"/>
          <w:szCs w:val="20"/>
          <w:lang w:val="lt-LT"/>
        </w:rPr>
        <w:t xml:space="preserve"> arba užpildyti interneto svetainėje </w:t>
      </w:r>
      <w:hyperlink r:id="rId5" w:history="1">
        <w:r w:rsidRPr="00C95A2C">
          <w:rPr>
            <w:rFonts w:ascii="Times New Roman" w:eastAsia="SimSun" w:hAnsi="Times New Roman"/>
            <w:snapToGrid w:val="0"/>
            <w:color w:val="0000FF"/>
            <w:szCs w:val="20"/>
            <w:u w:val="single"/>
            <w:lang w:val="lt-LT"/>
          </w:rPr>
          <w:t>www.vvkt.lt</w:t>
        </w:r>
      </w:hyperlink>
      <w:r w:rsidRPr="00C95A2C">
        <w:rPr>
          <w:rFonts w:ascii="Times New Roman" w:eastAsia="Times New Roman" w:hAnsi="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C95A2C">
        <w:rPr>
          <w:rFonts w:ascii="Times New Roman" w:eastAsia="Times New Roman" w:hAnsi="Times New Roman"/>
          <w:snapToGrid w:val="0"/>
          <w:szCs w:val="20"/>
          <w:lang w:val="lt-LT" w:eastAsia="zh-CN"/>
        </w:rPr>
        <w:t xml:space="preserve">nemokamu </w:t>
      </w:r>
      <w:r w:rsidRPr="00C95A2C">
        <w:rPr>
          <w:rFonts w:ascii="Times New Roman" w:eastAsia="Times New Roman" w:hAnsi="Times New Roman"/>
          <w:snapToGrid w:val="0"/>
          <w:szCs w:val="20"/>
          <w:lang w:val="lt-LT"/>
        </w:rPr>
        <w:t>fakso numeriu 8 800 20131</w:t>
      </w:r>
      <w:r w:rsidRPr="00C95A2C">
        <w:rPr>
          <w:rFonts w:ascii="Times New Roman" w:eastAsia="Times New Roman" w:hAnsi="Times New Roman"/>
          <w:snapToGrid w:val="0"/>
          <w:szCs w:val="20"/>
          <w:lang w:val="lt-LT" w:eastAsia="zh-CN"/>
        </w:rPr>
        <w:t xml:space="preserve">, </w:t>
      </w:r>
      <w:r w:rsidRPr="00C95A2C">
        <w:rPr>
          <w:rFonts w:ascii="Times New Roman" w:eastAsia="Times New Roman" w:hAnsi="Times New Roman"/>
          <w:snapToGrid w:val="0"/>
          <w:szCs w:val="20"/>
          <w:lang w:val="lt-LT"/>
        </w:rPr>
        <w:t xml:space="preserve">el. paštu </w:t>
      </w:r>
      <w:hyperlink r:id="rId6" w:history="1">
        <w:r w:rsidRPr="00C95A2C">
          <w:rPr>
            <w:rFonts w:ascii="Times New Roman" w:eastAsia="SimSun" w:hAnsi="Times New Roman"/>
            <w:snapToGrid w:val="0"/>
            <w:color w:val="0000FF"/>
            <w:szCs w:val="20"/>
            <w:u w:val="single"/>
            <w:lang w:val="lt-LT"/>
          </w:rPr>
          <w:t>NepageidaujamaR@vvkt.lt</w:t>
        </w:r>
      </w:hyperlink>
      <w:r w:rsidRPr="00C95A2C">
        <w:rPr>
          <w:rFonts w:ascii="Times New Roman" w:eastAsia="Times New Roman" w:hAnsi="Times New Roman"/>
          <w:snapToGrid w:val="0"/>
          <w:szCs w:val="20"/>
          <w:lang w:val="lt-LT"/>
        </w:rPr>
        <w:t xml:space="preserve">, taip pat per Valstybinės vaistų kontrolės tarnybos prie Lietuvos Respublikos sveikatos apsaugos ministerijos interneto svetainę (adresu </w:t>
      </w:r>
      <w:hyperlink r:id="rId7" w:history="1">
        <w:r w:rsidRPr="00C95A2C">
          <w:rPr>
            <w:rFonts w:ascii="Times New Roman" w:eastAsia="SimSun" w:hAnsi="Times New Roman"/>
            <w:snapToGrid w:val="0"/>
            <w:color w:val="0000FF"/>
            <w:szCs w:val="20"/>
            <w:u w:val="single"/>
            <w:lang w:val="lt-LT"/>
          </w:rPr>
          <w:t>http://www.vvkt.lt</w:t>
        </w:r>
      </w:hyperlink>
      <w:r w:rsidRPr="00C95A2C">
        <w:rPr>
          <w:rFonts w:ascii="Times New Roman" w:eastAsia="Times New Roman" w:hAnsi="Times New Roman"/>
          <w:snapToGrid w:val="0"/>
          <w:szCs w:val="20"/>
          <w:lang w:val="lt-LT"/>
        </w:rPr>
        <w:t>). Pranešdami apie šalutinį poveikį galite mums padėti gauti daugiau informacijos apie šio vaisto saugumą.</w:t>
      </w:r>
    </w:p>
    <w:p w:rsidR="00B1101E" w:rsidRPr="00C95A2C" w:rsidRDefault="00B1101E" w:rsidP="00B1101E">
      <w:pPr>
        <w:spacing w:after="0" w:line="240" w:lineRule="auto"/>
        <w:rPr>
          <w:rFonts w:ascii="Times New Roman" w:hAnsi="Times New Roman"/>
          <w:lang w:val="lt-LT"/>
        </w:rPr>
      </w:pPr>
    </w:p>
    <w:p w:rsidR="00B1101E" w:rsidRDefault="00B1101E" w:rsidP="00B1101E">
      <w:pPr>
        <w:spacing w:after="0" w:line="240" w:lineRule="auto"/>
        <w:ind w:left="567" w:hanging="567"/>
        <w:rPr>
          <w:rFonts w:ascii="Times New Roman" w:hAnsi="Times New Roman"/>
          <w:lang w:val="lt-LT"/>
        </w:rPr>
      </w:pPr>
    </w:p>
    <w:p w:rsidR="00B1101E" w:rsidRDefault="00B1101E" w:rsidP="00B1101E">
      <w:pPr>
        <w:numPr>
          <w:ilvl w:val="12"/>
          <w:numId w:val="0"/>
        </w:numPr>
        <w:spacing w:after="0" w:line="240" w:lineRule="auto"/>
        <w:ind w:left="567" w:hanging="567"/>
        <w:outlineLvl w:val="0"/>
        <w:rPr>
          <w:rFonts w:ascii="Times New Roman" w:hAnsi="Times New Roman"/>
          <w:b/>
          <w:lang w:val="lt-LT"/>
        </w:rPr>
      </w:pPr>
      <w:r>
        <w:rPr>
          <w:rFonts w:ascii="Times New Roman" w:hAnsi="Times New Roman"/>
          <w:b/>
          <w:caps/>
          <w:lang w:val="lt-LT"/>
        </w:rPr>
        <w:t>5.</w:t>
      </w:r>
      <w:r>
        <w:rPr>
          <w:rFonts w:ascii="Times New Roman" w:hAnsi="Times New Roman"/>
          <w:b/>
          <w:caps/>
          <w:lang w:val="lt-LT"/>
        </w:rPr>
        <w:tab/>
      </w:r>
      <w:r>
        <w:rPr>
          <w:rFonts w:ascii="Times New Roman" w:hAnsi="Times New Roman"/>
          <w:b/>
          <w:lang w:val="lt-LT"/>
        </w:rPr>
        <w:t>Kaip laikyti Thioctacid HR</w:t>
      </w:r>
    </w:p>
    <w:p w:rsidR="00B1101E" w:rsidRDefault="00B1101E" w:rsidP="00B1101E">
      <w:pPr>
        <w:spacing w:after="0" w:line="240" w:lineRule="auto"/>
        <w:rPr>
          <w:rFonts w:ascii="Times New Roman" w:hAnsi="Times New Roman"/>
          <w:lang w:val="lt-LT"/>
        </w:rPr>
      </w:pPr>
    </w:p>
    <w:p w:rsidR="00B1101E" w:rsidRDefault="00B1101E" w:rsidP="00B1101E">
      <w:pPr>
        <w:spacing w:after="0" w:line="240" w:lineRule="auto"/>
        <w:rPr>
          <w:rFonts w:ascii="Times New Roman" w:hAnsi="Times New Roman"/>
          <w:lang w:val="lt-LT"/>
        </w:rPr>
      </w:pPr>
      <w:r>
        <w:rPr>
          <w:rFonts w:ascii="Times New Roman" w:hAnsi="Times New Roman"/>
          <w:lang w:val="lt-LT"/>
        </w:rPr>
        <w:t>Šį vaistą laikykite vaikams nepastebimoje ir  nepasiekiamoje vietoje.</w:t>
      </w:r>
    </w:p>
    <w:p w:rsidR="00B1101E" w:rsidRDefault="00B1101E" w:rsidP="00B1101E">
      <w:pPr>
        <w:spacing w:after="0" w:line="240" w:lineRule="auto"/>
        <w:rPr>
          <w:rFonts w:ascii="Times New Roman" w:hAnsi="Times New Roman"/>
          <w:lang w:val="lt-LT"/>
        </w:rPr>
      </w:pPr>
    </w:p>
    <w:p w:rsidR="00B1101E" w:rsidRDefault="00B1101E" w:rsidP="00B1101E">
      <w:pPr>
        <w:spacing w:after="0" w:line="240" w:lineRule="auto"/>
        <w:rPr>
          <w:rFonts w:ascii="Times New Roman" w:hAnsi="Times New Roman"/>
          <w:lang w:val="lt-LT"/>
        </w:rPr>
      </w:pPr>
      <w:r>
        <w:rPr>
          <w:rFonts w:ascii="Times New Roman" w:hAnsi="Times New Roman"/>
          <w:lang w:val="lt-LT"/>
        </w:rPr>
        <w:t>Ant dėžutės ir buteliuko po „EXP“ nurodytam tinkamumo laikui pasibaigus, šio vaisto vartoti negalima. Vaistas tinkamas vartoti iki paskutinės nurodyto mėnesio dienos.</w:t>
      </w:r>
    </w:p>
    <w:p w:rsidR="00B1101E" w:rsidRDefault="00B1101E" w:rsidP="00B1101E">
      <w:pPr>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lang w:val="lt-LT"/>
        </w:rPr>
      </w:pPr>
      <w:r>
        <w:rPr>
          <w:rFonts w:ascii="Times New Roman" w:hAnsi="Times New Roman"/>
          <w:noProof/>
          <w:lang w:val="lt-LT"/>
        </w:rPr>
        <w:t>Laikyti ne aukštesnėje kaip 25</w:t>
      </w:r>
      <w:r>
        <w:rPr>
          <w:rFonts w:ascii="Times New Roman" w:hAnsi="Times New Roman"/>
          <w:lang w:val="lt-LT"/>
        </w:rPr>
        <w:t>º C temperatūroje.</w:t>
      </w: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spacing w:after="0" w:line="240" w:lineRule="auto"/>
        <w:rPr>
          <w:rFonts w:ascii="Times New Roman" w:hAnsi="Times New Roman"/>
          <w:lang w:val="lt-LT" w:eastAsia="lt-LT"/>
        </w:rPr>
      </w:pPr>
      <w:r>
        <w:rPr>
          <w:rFonts w:ascii="Times New Roman" w:hAnsi="Times New Roman"/>
          <w:lang w:val="lt-LT" w:eastAsia="lt-LT"/>
        </w:rPr>
        <w:t>Vaistų negalima išmesti į kanalizaciją arba išmesti su buitinėmis atliekomis. Kaip išmesti nereikalingus vaistus, klauskite vaistininko. Šios priemonės padės apsaugoti aplinką.</w:t>
      </w: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lang w:val="lt-LT"/>
        </w:rPr>
      </w:pPr>
    </w:p>
    <w:p w:rsidR="00B1101E" w:rsidRDefault="00B1101E" w:rsidP="00B1101E">
      <w:pPr>
        <w:numPr>
          <w:ilvl w:val="12"/>
          <w:numId w:val="0"/>
        </w:numPr>
        <w:spacing w:after="0" w:line="240" w:lineRule="auto"/>
        <w:ind w:left="567" w:hanging="567"/>
        <w:outlineLvl w:val="0"/>
        <w:rPr>
          <w:rFonts w:ascii="Times New Roman" w:hAnsi="Times New Roman"/>
          <w:b/>
          <w:lang w:val="lt-LT"/>
        </w:rPr>
      </w:pPr>
      <w:r>
        <w:rPr>
          <w:rFonts w:ascii="Times New Roman" w:hAnsi="Times New Roman"/>
          <w:b/>
          <w:lang w:val="lt-LT"/>
        </w:rPr>
        <w:t>6.</w:t>
      </w:r>
      <w:r>
        <w:rPr>
          <w:rFonts w:ascii="Times New Roman" w:hAnsi="Times New Roman"/>
          <w:lang w:val="lt-LT"/>
        </w:rPr>
        <w:tab/>
      </w:r>
      <w:r>
        <w:rPr>
          <w:rFonts w:ascii="Times New Roman" w:hAnsi="Times New Roman"/>
          <w:b/>
          <w:lang w:val="lt-LT"/>
        </w:rPr>
        <w:t>Pakuotės turinys ir</w:t>
      </w:r>
      <w:r>
        <w:rPr>
          <w:rFonts w:ascii="Times New Roman" w:hAnsi="Times New Roman"/>
          <w:lang w:val="lt-LT"/>
        </w:rPr>
        <w:t xml:space="preserve"> </w:t>
      </w:r>
      <w:r>
        <w:rPr>
          <w:rFonts w:ascii="Times New Roman" w:hAnsi="Times New Roman"/>
          <w:b/>
          <w:lang w:val="lt-LT"/>
        </w:rPr>
        <w:t>kita informacija</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lang w:val="lt-LT"/>
        </w:rPr>
      </w:pPr>
      <w:r>
        <w:rPr>
          <w:rFonts w:ascii="Times New Roman" w:hAnsi="Times New Roman"/>
          <w:b/>
          <w:lang w:val="lt-LT"/>
        </w:rPr>
        <w:t>Thioctacid HR sudėtis</w:t>
      </w:r>
    </w:p>
    <w:p w:rsidR="00B1101E" w:rsidRDefault="00B1101E" w:rsidP="00B1101E">
      <w:pPr>
        <w:autoSpaceDE w:val="0"/>
        <w:autoSpaceDN w:val="0"/>
        <w:adjustRightInd w:val="0"/>
        <w:spacing w:after="0" w:line="240" w:lineRule="auto"/>
        <w:ind w:left="540" w:hanging="540"/>
        <w:rPr>
          <w:rFonts w:ascii="Times New Roman" w:hAnsi="Times New Roman"/>
          <w:lang w:val="lt-LT"/>
        </w:rPr>
      </w:pPr>
      <w:r>
        <w:rPr>
          <w:rFonts w:ascii="Times New Roman" w:hAnsi="Times New Roman"/>
          <w:lang w:val="lt-LT"/>
        </w:rPr>
        <w:t>-</w:t>
      </w:r>
      <w:r>
        <w:rPr>
          <w:rFonts w:ascii="Times New Roman" w:hAnsi="Times New Roman"/>
          <w:lang w:val="lt-LT"/>
        </w:rPr>
        <w:tab/>
        <w:t>Veiklioji medžiaga yra tiokto rūgštis. Vienoje plėvele dengtoje tabletėje yra 600 mg tiokto rūgšties.</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Pagalbinės medžiagos tabletės branduolyje yra mažai pakeista hidroksipropilceliuliozė, magnio stearatas, hidroksipropilceliuliozė; tabletės plėvelėje - hipromeliozė, makrogolis 6000, talkas, titano dioksidas (E 171), chinolino geltonasis (E 104), indigokarminas (E 132).</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Thioctacid HR išvaizda ir kiekis pakuotėje</w:t>
      </w:r>
    </w:p>
    <w:p w:rsidR="00B1101E" w:rsidRDefault="00B1101E" w:rsidP="00B1101E">
      <w:pPr>
        <w:spacing w:after="0" w:line="240" w:lineRule="auto"/>
        <w:ind w:left="567" w:hanging="567"/>
        <w:rPr>
          <w:rFonts w:ascii="Times New Roman" w:hAnsi="Times New Roman"/>
          <w:b/>
          <w:lang w:val="lt-LT"/>
        </w:rPr>
      </w:pPr>
    </w:p>
    <w:p w:rsidR="00B1101E" w:rsidRDefault="00B1101E" w:rsidP="00B1101E">
      <w:pPr>
        <w:spacing w:after="0" w:line="240" w:lineRule="auto"/>
        <w:rPr>
          <w:rFonts w:ascii="Times New Roman" w:hAnsi="Times New Roman"/>
          <w:lang w:val="lt-LT"/>
        </w:rPr>
      </w:pPr>
      <w:r>
        <w:rPr>
          <w:rFonts w:ascii="Times New Roman" w:hAnsi="Times New Roman"/>
          <w:lang w:val="lt-LT"/>
        </w:rPr>
        <w:t>Thioctacid HR yra geltonai žalios spalvos, pailgos abipus išgaubtos plėvele dengtos tabletės.</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rPr>
          <w:rFonts w:ascii="Times New Roman" w:hAnsi="Times New Roman"/>
          <w:lang w:val="lt-LT"/>
        </w:rPr>
      </w:pPr>
      <w:r>
        <w:rPr>
          <w:rFonts w:ascii="Times New Roman" w:hAnsi="Times New Roman"/>
          <w:iCs/>
          <w:lang w:val="lt-LT"/>
        </w:rPr>
        <w:t>Tabletės supakuotos į g</w:t>
      </w:r>
      <w:r>
        <w:rPr>
          <w:rFonts w:ascii="Times New Roman" w:hAnsi="Times New Roman"/>
          <w:lang w:val="lt-LT"/>
        </w:rPr>
        <w:t>intaro spalvos stiklo buteliuką, užsuktą polietileno dangteliu.</w:t>
      </w:r>
    </w:p>
    <w:p w:rsidR="00B1101E" w:rsidRDefault="00B1101E" w:rsidP="00B1101E">
      <w:pPr>
        <w:spacing w:after="0" w:line="240" w:lineRule="auto"/>
        <w:rPr>
          <w:rFonts w:ascii="Times New Roman" w:hAnsi="Times New Roman"/>
          <w:lang w:val="lt-LT"/>
        </w:rPr>
      </w:pPr>
    </w:p>
    <w:p w:rsidR="00B1101E" w:rsidRDefault="00B1101E" w:rsidP="00B1101E">
      <w:pPr>
        <w:spacing w:after="0" w:line="240" w:lineRule="auto"/>
        <w:rPr>
          <w:rFonts w:ascii="Times New Roman" w:hAnsi="Times New Roman"/>
          <w:lang w:val="lt-LT"/>
        </w:rPr>
      </w:pPr>
      <w:r>
        <w:rPr>
          <w:rFonts w:ascii="Times New Roman" w:hAnsi="Times New Roman"/>
          <w:lang w:val="lt-LT"/>
        </w:rPr>
        <w:t>Dėžutėje yra 30, 60 ir 100 plėvele dengtų tablečių.</w:t>
      </w:r>
    </w:p>
    <w:p w:rsidR="00B1101E" w:rsidRDefault="00B1101E" w:rsidP="00B1101E">
      <w:pPr>
        <w:spacing w:after="0" w:line="240" w:lineRule="auto"/>
        <w:rPr>
          <w:rFonts w:ascii="Times New Roman" w:hAnsi="Times New Roman"/>
          <w:lang w:val="lt-LT"/>
        </w:rPr>
      </w:pP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Gali būti tiekiamos ne visų dydžių pakuotės.</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lang w:val="lt-LT"/>
        </w:rPr>
        <w:t>Registruotojas</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MEDA Pharma GmbH &amp; Co. KG</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Benzstrasse 1</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61352 Bad Homburg</w:t>
      </w:r>
    </w:p>
    <w:p w:rsidR="00B1101E" w:rsidRDefault="00B1101E" w:rsidP="00B1101E">
      <w:pPr>
        <w:spacing w:after="0" w:line="240" w:lineRule="auto"/>
        <w:ind w:left="567" w:hanging="567"/>
        <w:rPr>
          <w:rFonts w:ascii="Times New Roman" w:hAnsi="Times New Roman"/>
          <w:lang w:val="lt-LT"/>
        </w:rPr>
      </w:pPr>
      <w:r>
        <w:rPr>
          <w:rFonts w:ascii="Times New Roman" w:hAnsi="Times New Roman"/>
          <w:lang w:val="lt-LT"/>
        </w:rPr>
        <w:t>Vokietija</w:t>
      </w:r>
    </w:p>
    <w:p w:rsidR="00B1101E" w:rsidRDefault="00B1101E" w:rsidP="00B1101E">
      <w:pPr>
        <w:spacing w:after="0" w:line="240" w:lineRule="auto"/>
        <w:rPr>
          <w:rFonts w:ascii="Times New Roman" w:hAnsi="Times New Roman"/>
          <w:lang w:val="lt-LT"/>
        </w:rPr>
      </w:pPr>
      <w:r>
        <w:rPr>
          <w:rFonts w:ascii="Times New Roman" w:hAnsi="Times New Roman"/>
          <w:lang w:val="lt-LT"/>
        </w:rPr>
        <w:t>Tel.+49 (06172) 888-01</w:t>
      </w:r>
    </w:p>
    <w:p w:rsidR="00B1101E" w:rsidRDefault="00B1101E" w:rsidP="00B1101E">
      <w:pPr>
        <w:spacing w:after="0" w:line="240" w:lineRule="auto"/>
        <w:rPr>
          <w:rFonts w:ascii="Times New Roman" w:hAnsi="Times New Roman"/>
          <w:lang w:val="lt-LT"/>
        </w:rPr>
      </w:pPr>
      <w:r>
        <w:rPr>
          <w:rFonts w:ascii="Times New Roman" w:hAnsi="Times New Roman"/>
          <w:lang w:val="lt-LT"/>
        </w:rPr>
        <w:t>Faksas: +49 06172) 888-2740</w:t>
      </w:r>
    </w:p>
    <w:p w:rsidR="00B1101E" w:rsidRDefault="00B1101E" w:rsidP="00B1101E">
      <w:pPr>
        <w:spacing w:after="0" w:line="240" w:lineRule="auto"/>
        <w:rPr>
          <w:rFonts w:ascii="Times New Roman" w:hAnsi="Times New Roman"/>
          <w:lang w:val="lt-LT"/>
        </w:rPr>
      </w:pPr>
      <w:r>
        <w:rPr>
          <w:rFonts w:ascii="Times New Roman" w:hAnsi="Times New Roman"/>
          <w:lang w:val="lt-LT"/>
        </w:rPr>
        <w:t xml:space="preserve">El. paštas: </w:t>
      </w:r>
      <w:hyperlink r:id="rId8" w:history="1">
        <w:r w:rsidRPr="00D00E7F">
          <w:rPr>
            <w:rStyle w:val="Hyperlink"/>
            <w:rFonts w:ascii="Times New Roman" w:hAnsi="Times New Roman"/>
            <w:lang w:val="lt-LT"/>
          </w:rPr>
          <w:t>medinfo</w:t>
        </w:r>
        <w:r w:rsidRPr="00D00E7F">
          <w:rPr>
            <w:rStyle w:val="Hyperlink"/>
            <w:rFonts w:ascii="Times New Roman" w:hAnsi="Times New Roman"/>
          </w:rPr>
          <w:t>@</w:t>
        </w:r>
        <w:r w:rsidRPr="00D00E7F">
          <w:rPr>
            <w:rStyle w:val="Hyperlink"/>
            <w:rFonts w:ascii="Times New Roman" w:hAnsi="Times New Roman"/>
            <w:lang w:val="lt-LT"/>
          </w:rPr>
          <w:t>medapharma.de</w:t>
        </w:r>
      </w:hyperlink>
    </w:p>
    <w:p w:rsidR="00B1101E" w:rsidRDefault="00B1101E" w:rsidP="00B1101E">
      <w:pPr>
        <w:spacing w:after="0" w:line="240" w:lineRule="auto"/>
        <w:rPr>
          <w:rFonts w:ascii="Times New Roman" w:hAnsi="Times New Roman"/>
          <w:lang w:val="lt-LT"/>
        </w:rPr>
      </w:pPr>
    </w:p>
    <w:p w:rsidR="00B1101E" w:rsidRDefault="00B1101E" w:rsidP="00B1101E">
      <w:pPr>
        <w:autoSpaceDE w:val="0"/>
        <w:autoSpaceDN w:val="0"/>
        <w:adjustRightInd w:val="0"/>
        <w:spacing w:after="0" w:line="240" w:lineRule="auto"/>
        <w:rPr>
          <w:rFonts w:ascii="Times New Roman" w:hAnsi="Times New Roman"/>
          <w:b/>
          <w:bCs/>
          <w:i/>
          <w:iCs/>
          <w:color w:val="000000"/>
          <w:lang w:val="lt-LT" w:eastAsia="lt-LT"/>
        </w:rPr>
      </w:pPr>
      <w:r w:rsidRPr="00BE34A4">
        <w:rPr>
          <w:rFonts w:ascii="Times New Roman" w:hAnsi="Times New Roman"/>
          <w:b/>
          <w:bCs/>
          <w:i/>
          <w:iCs/>
          <w:color w:val="000000"/>
          <w:lang w:val="lt-LT" w:eastAsia="lt-LT"/>
        </w:rPr>
        <w:t>Gamintojas</w:t>
      </w:r>
    </w:p>
    <w:p w:rsidR="00B1101E" w:rsidRPr="00BE34A4" w:rsidRDefault="00B1101E" w:rsidP="00B1101E">
      <w:pPr>
        <w:autoSpaceDE w:val="0"/>
        <w:autoSpaceDN w:val="0"/>
        <w:adjustRightInd w:val="0"/>
        <w:spacing w:after="0" w:line="240" w:lineRule="auto"/>
        <w:rPr>
          <w:rFonts w:ascii="Times New Roman" w:hAnsi="Times New Roman"/>
          <w:color w:val="000000"/>
          <w:lang w:val="lt-LT" w:eastAsia="lt-LT"/>
        </w:rPr>
      </w:pPr>
    </w:p>
    <w:p w:rsidR="00B1101E" w:rsidRDefault="00B1101E" w:rsidP="00B1101E">
      <w:pPr>
        <w:autoSpaceDE w:val="0"/>
        <w:autoSpaceDN w:val="0"/>
        <w:adjustRightInd w:val="0"/>
        <w:spacing w:after="0" w:line="240" w:lineRule="auto"/>
        <w:rPr>
          <w:rFonts w:ascii="Times New Roman" w:hAnsi="Times New Roman"/>
          <w:bCs/>
          <w:color w:val="000000"/>
          <w:lang w:val="lt-LT" w:eastAsia="lt-LT"/>
        </w:rPr>
      </w:pPr>
      <w:r w:rsidRPr="00BE34A4">
        <w:rPr>
          <w:rFonts w:ascii="Times New Roman" w:hAnsi="Times New Roman"/>
          <w:bCs/>
          <w:color w:val="000000"/>
          <w:lang w:val="lt-LT" w:eastAsia="lt-LT"/>
        </w:rPr>
        <w:t>MEDA Pharma GmbH &amp; Co. KG</w:t>
      </w:r>
    </w:p>
    <w:p w:rsidR="00B1101E" w:rsidRDefault="00B1101E" w:rsidP="00B1101E">
      <w:pPr>
        <w:autoSpaceDE w:val="0"/>
        <w:autoSpaceDN w:val="0"/>
        <w:adjustRightInd w:val="0"/>
        <w:spacing w:after="0" w:line="240" w:lineRule="auto"/>
        <w:rPr>
          <w:rFonts w:ascii="Times New Roman" w:hAnsi="Times New Roman"/>
          <w:bCs/>
          <w:color w:val="000000"/>
          <w:lang w:val="lt-LT" w:eastAsia="lt-LT"/>
        </w:rPr>
      </w:pPr>
      <w:r w:rsidRPr="00BE34A4">
        <w:rPr>
          <w:rFonts w:ascii="Times New Roman" w:hAnsi="Times New Roman"/>
          <w:bCs/>
          <w:color w:val="000000"/>
          <w:lang w:val="lt-LT" w:eastAsia="lt-LT"/>
        </w:rPr>
        <w:t>Benzstrasse 1</w:t>
      </w:r>
    </w:p>
    <w:p w:rsidR="00B1101E" w:rsidRDefault="00B1101E" w:rsidP="00B1101E">
      <w:pPr>
        <w:autoSpaceDE w:val="0"/>
        <w:autoSpaceDN w:val="0"/>
        <w:adjustRightInd w:val="0"/>
        <w:spacing w:after="0" w:line="240" w:lineRule="auto"/>
        <w:rPr>
          <w:rFonts w:ascii="Times New Roman" w:hAnsi="Times New Roman"/>
          <w:bCs/>
          <w:color w:val="000000"/>
          <w:lang w:val="lt-LT" w:eastAsia="lt-LT"/>
        </w:rPr>
      </w:pPr>
      <w:r w:rsidRPr="00BE34A4">
        <w:rPr>
          <w:rFonts w:ascii="Times New Roman" w:hAnsi="Times New Roman"/>
          <w:bCs/>
          <w:color w:val="000000"/>
          <w:lang w:val="lt-LT" w:eastAsia="lt-LT"/>
        </w:rPr>
        <w:t>61352 Bad Homburg</w:t>
      </w:r>
    </w:p>
    <w:p w:rsidR="00B1101E" w:rsidRDefault="00B1101E" w:rsidP="00B1101E">
      <w:pPr>
        <w:autoSpaceDE w:val="0"/>
        <w:autoSpaceDN w:val="0"/>
        <w:adjustRightInd w:val="0"/>
        <w:spacing w:after="0" w:line="240" w:lineRule="auto"/>
        <w:rPr>
          <w:rFonts w:ascii="Times New Roman" w:hAnsi="Times New Roman"/>
          <w:bCs/>
          <w:color w:val="000000"/>
          <w:lang w:val="lt-LT" w:eastAsia="lt-LT"/>
        </w:rPr>
      </w:pPr>
      <w:r w:rsidRPr="00BE34A4">
        <w:rPr>
          <w:rFonts w:ascii="Times New Roman" w:hAnsi="Times New Roman"/>
          <w:bCs/>
          <w:color w:val="000000"/>
          <w:lang w:val="lt-LT" w:eastAsia="lt-LT"/>
        </w:rPr>
        <w:t>Vokietija</w:t>
      </w:r>
    </w:p>
    <w:p w:rsidR="00B1101E" w:rsidRPr="00BE34A4" w:rsidRDefault="00B1101E" w:rsidP="00B1101E">
      <w:pPr>
        <w:autoSpaceDE w:val="0"/>
        <w:autoSpaceDN w:val="0"/>
        <w:adjustRightInd w:val="0"/>
        <w:spacing w:after="0" w:line="240" w:lineRule="auto"/>
        <w:rPr>
          <w:rFonts w:ascii="Times New Roman" w:hAnsi="Times New Roman"/>
          <w:color w:val="000000"/>
          <w:lang w:val="lt-LT" w:eastAsia="lt-LT"/>
        </w:rPr>
      </w:pPr>
    </w:p>
    <w:p w:rsidR="00B1101E" w:rsidRDefault="00B1101E" w:rsidP="00B1101E">
      <w:pPr>
        <w:autoSpaceDE w:val="0"/>
        <w:autoSpaceDN w:val="0"/>
        <w:adjustRightInd w:val="0"/>
        <w:spacing w:after="0" w:line="240" w:lineRule="auto"/>
        <w:rPr>
          <w:rFonts w:ascii="Times New Roman" w:hAnsi="Times New Roman"/>
          <w:bCs/>
          <w:color w:val="000000"/>
          <w:lang w:val="lt-LT" w:eastAsia="lt-LT"/>
        </w:rPr>
      </w:pPr>
      <w:r w:rsidRPr="00B75015">
        <w:rPr>
          <w:rFonts w:ascii="Times New Roman" w:hAnsi="Times New Roman"/>
          <w:bCs/>
          <w:color w:val="000000"/>
          <w:highlight w:val="lightGray"/>
          <w:lang w:val="lt-LT" w:eastAsia="lt-LT"/>
        </w:rPr>
        <w:t>arba</w:t>
      </w:r>
    </w:p>
    <w:p w:rsidR="00B1101E" w:rsidRDefault="00B1101E" w:rsidP="00B1101E">
      <w:pPr>
        <w:autoSpaceDE w:val="0"/>
        <w:autoSpaceDN w:val="0"/>
        <w:adjustRightInd w:val="0"/>
        <w:spacing w:after="0" w:line="240" w:lineRule="auto"/>
        <w:rPr>
          <w:rFonts w:ascii="Times New Roman" w:hAnsi="Times New Roman"/>
          <w:color w:val="000000"/>
          <w:lang w:val="lt-LT" w:eastAsia="lt-LT"/>
        </w:rPr>
      </w:pPr>
    </w:p>
    <w:p w:rsidR="00B1101E" w:rsidRDefault="00B1101E" w:rsidP="00B1101E">
      <w:pPr>
        <w:autoSpaceDE w:val="0"/>
        <w:autoSpaceDN w:val="0"/>
        <w:adjustRightInd w:val="0"/>
        <w:spacing w:after="0" w:line="240" w:lineRule="auto"/>
        <w:rPr>
          <w:rFonts w:ascii="Times New Roman" w:hAnsi="Times New Roman"/>
          <w:color w:val="000000"/>
          <w:highlight w:val="lightGray"/>
          <w:lang w:val="lt-LT" w:eastAsia="lt-LT"/>
        </w:rPr>
      </w:pPr>
      <w:r w:rsidRPr="00B75015">
        <w:rPr>
          <w:rFonts w:ascii="Times New Roman" w:hAnsi="Times New Roman"/>
          <w:color w:val="000000"/>
          <w:highlight w:val="lightGray"/>
          <w:lang w:val="lt-LT" w:eastAsia="lt-LT"/>
        </w:rPr>
        <w:t>MEDA Manufacturing GmbH</w:t>
      </w:r>
    </w:p>
    <w:p w:rsidR="00B1101E" w:rsidRDefault="00B1101E" w:rsidP="00B1101E">
      <w:pPr>
        <w:autoSpaceDE w:val="0"/>
        <w:autoSpaceDN w:val="0"/>
        <w:adjustRightInd w:val="0"/>
        <w:spacing w:after="0" w:line="240" w:lineRule="auto"/>
        <w:rPr>
          <w:rFonts w:ascii="Times New Roman" w:hAnsi="Times New Roman"/>
          <w:color w:val="000000"/>
          <w:highlight w:val="lightGray"/>
          <w:lang w:val="lt-LT" w:eastAsia="lt-LT"/>
        </w:rPr>
      </w:pPr>
      <w:r w:rsidRPr="00B75015">
        <w:rPr>
          <w:rFonts w:ascii="Times New Roman" w:hAnsi="Times New Roman"/>
          <w:color w:val="000000"/>
          <w:highlight w:val="lightGray"/>
          <w:lang w:val="lt-LT" w:eastAsia="lt-LT"/>
        </w:rPr>
        <w:t>Neurather Ring 1</w:t>
      </w:r>
    </w:p>
    <w:p w:rsidR="00B1101E" w:rsidRDefault="00B1101E" w:rsidP="00B1101E">
      <w:pPr>
        <w:autoSpaceDE w:val="0"/>
        <w:autoSpaceDN w:val="0"/>
        <w:adjustRightInd w:val="0"/>
        <w:spacing w:after="0" w:line="240" w:lineRule="auto"/>
        <w:rPr>
          <w:rFonts w:ascii="Times New Roman" w:hAnsi="Times New Roman"/>
          <w:color w:val="000000"/>
          <w:highlight w:val="lightGray"/>
          <w:lang w:val="lt-LT" w:eastAsia="lt-LT"/>
        </w:rPr>
      </w:pPr>
      <w:r w:rsidRPr="00B75015">
        <w:rPr>
          <w:rFonts w:ascii="Times New Roman" w:hAnsi="Times New Roman"/>
          <w:color w:val="000000"/>
          <w:highlight w:val="lightGray"/>
          <w:lang w:val="lt-LT" w:eastAsia="lt-LT"/>
        </w:rPr>
        <w:t>51063 Köln</w:t>
      </w:r>
    </w:p>
    <w:p w:rsidR="00B1101E" w:rsidRPr="00B75015" w:rsidRDefault="00B1101E" w:rsidP="00B1101E">
      <w:pPr>
        <w:autoSpaceDE w:val="0"/>
        <w:autoSpaceDN w:val="0"/>
        <w:adjustRightInd w:val="0"/>
        <w:spacing w:after="0" w:line="240" w:lineRule="auto"/>
        <w:rPr>
          <w:rFonts w:ascii="Times New Roman" w:hAnsi="Times New Roman"/>
          <w:color w:val="000000"/>
          <w:highlight w:val="lightGray"/>
          <w:lang w:val="lt-LT" w:eastAsia="lt-LT"/>
        </w:rPr>
      </w:pPr>
      <w:r w:rsidRPr="00B75015">
        <w:rPr>
          <w:rFonts w:ascii="Times New Roman" w:hAnsi="Times New Roman"/>
          <w:color w:val="000000"/>
          <w:highlight w:val="lightGray"/>
          <w:lang w:val="lt-LT" w:eastAsia="lt-LT"/>
        </w:rPr>
        <w:t>Vokietija</w:t>
      </w:r>
    </w:p>
    <w:p w:rsidR="00B1101E" w:rsidRPr="00B75015" w:rsidRDefault="00B1101E" w:rsidP="00B1101E">
      <w:pPr>
        <w:autoSpaceDE w:val="0"/>
        <w:autoSpaceDN w:val="0"/>
        <w:adjustRightInd w:val="0"/>
        <w:spacing w:after="0" w:line="240" w:lineRule="auto"/>
        <w:rPr>
          <w:rFonts w:ascii="Times New Roman" w:hAnsi="Times New Roman"/>
          <w:color w:val="000000"/>
          <w:highlight w:val="lightGray"/>
          <w:lang w:val="lt-LT" w:eastAsia="lt-LT"/>
        </w:rPr>
      </w:pPr>
    </w:p>
    <w:p w:rsidR="00B1101E" w:rsidRPr="00B75015" w:rsidRDefault="00B1101E" w:rsidP="00B1101E">
      <w:pPr>
        <w:autoSpaceDE w:val="0"/>
        <w:autoSpaceDN w:val="0"/>
        <w:adjustRightInd w:val="0"/>
        <w:spacing w:after="0" w:line="240" w:lineRule="auto"/>
        <w:rPr>
          <w:rFonts w:ascii="Times New Roman" w:hAnsi="Times New Roman"/>
          <w:color w:val="000000"/>
          <w:highlight w:val="lightGray"/>
          <w:lang w:val="lt-LT" w:eastAsia="lt-LT"/>
        </w:rPr>
      </w:pPr>
      <w:r w:rsidRPr="00B75015">
        <w:rPr>
          <w:rFonts w:ascii="Times New Roman" w:hAnsi="Times New Roman"/>
          <w:color w:val="000000"/>
          <w:highlight w:val="lightGray"/>
          <w:lang w:val="lt-LT" w:eastAsia="lt-LT"/>
        </w:rPr>
        <w:t>arba</w:t>
      </w:r>
    </w:p>
    <w:p w:rsidR="00B1101E" w:rsidRPr="00B75015" w:rsidRDefault="00B1101E" w:rsidP="00B1101E">
      <w:pPr>
        <w:autoSpaceDE w:val="0"/>
        <w:autoSpaceDN w:val="0"/>
        <w:adjustRightInd w:val="0"/>
        <w:spacing w:after="0" w:line="240" w:lineRule="auto"/>
        <w:rPr>
          <w:rFonts w:ascii="Times New Roman" w:hAnsi="Times New Roman"/>
          <w:color w:val="000000"/>
          <w:highlight w:val="lightGray"/>
          <w:lang w:val="lt-LT" w:eastAsia="lt-LT"/>
        </w:rPr>
      </w:pPr>
    </w:p>
    <w:p w:rsidR="00B1101E" w:rsidRDefault="00B1101E" w:rsidP="00B1101E">
      <w:pPr>
        <w:autoSpaceDE w:val="0"/>
        <w:autoSpaceDN w:val="0"/>
        <w:adjustRightInd w:val="0"/>
        <w:spacing w:after="0" w:line="240" w:lineRule="auto"/>
        <w:rPr>
          <w:rFonts w:ascii="Times New Roman" w:hAnsi="Times New Roman"/>
          <w:bCs/>
          <w:color w:val="000000"/>
          <w:highlight w:val="lightGray"/>
          <w:lang w:val="lt-LT" w:eastAsia="lt-LT"/>
        </w:rPr>
      </w:pPr>
      <w:r w:rsidRPr="00B75015">
        <w:rPr>
          <w:rFonts w:ascii="Times New Roman" w:hAnsi="Times New Roman"/>
          <w:bCs/>
          <w:color w:val="000000"/>
          <w:highlight w:val="lightGray"/>
          <w:lang w:val="lt-LT" w:eastAsia="lt-LT"/>
        </w:rPr>
        <w:t>Rottapharm Ltd.</w:t>
      </w:r>
    </w:p>
    <w:p w:rsidR="00B1101E" w:rsidRDefault="00B1101E" w:rsidP="00B1101E">
      <w:pPr>
        <w:autoSpaceDE w:val="0"/>
        <w:autoSpaceDN w:val="0"/>
        <w:adjustRightInd w:val="0"/>
        <w:spacing w:after="0" w:line="240" w:lineRule="auto"/>
        <w:rPr>
          <w:rFonts w:ascii="Times New Roman" w:hAnsi="Times New Roman"/>
          <w:bCs/>
          <w:color w:val="000000"/>
          <w:highlight w:val="lightGray"/>
          <w:lang w:val="lt-LT" w:eastAsia="lt-LT"/>
        </w:rPr>
      </w:pPr>
      <w:r w:rsidRPr="00B75015">
        <w:rPr>
          <w:rFonts w:ascii="Times New Roman" w:hAnsi="Times New Roman"/>
          <w:bCs/>
          <w:color w:val="000000"/>
          <w:highlight w:val="lightGray"/>
          <w:lang w:val="lt-LT" w:eastAsia="lt-LT"/>
        </w:rPr>
        <w:t>Damastown Industrial Park, Mulhuddart</w:t>
      </w:r>
    </w:p>
    <w:p w:rsidR="00B1101E" w:rsidRDefault="00B1101E" w:rsidP="00B1101E">
      <w:pPr>
        <w:autoSpaceDE w:val="0"/>
        <w:autoSpaceDN w:val="0"/>
        <w:adjustRightInd w:val="0"/>
        <w:spacing w:after="0" w:line="240" w:lineRule="auto"/>
        <w:rPr>
          <w:rFonts w:ascii="Times New Roman" w:hAnsi="Times New Roman"/>
          <w:bCs/>
          <w:color w:val="000000"/>
          <w:highlight w:val="lightGray"/>
          <w:lang w:val="lt-LT" w:eastAsia="lt-LT"/>
        </w:rPr>
      </w:pPr>
      <w:r w:rsidRPr="00B75015">
        <w:rPr>
          <w:rFonts w:ascii="Times New Roman" w:hAnsi="Times New Roman"/>
          <w:bCs/>
          <w:color w:val="000000"/>
          <w:highlight w:val="lightGray"/>
          <w:lang w:val="lt-LT" w:eastAsia="lt-LT"/>
        </w:rPr>
        <w:t>Dublin 15, D15 XD71</w:t>
      </w:r>
    </w:p>
    <w:p w:rsidR="00B1101E" w:rsidRDefault="00B1101E" w:rsidP="00B1101E">
      <w:pPr>
        <w:autoSpaceDE w:val="0"/>
        <w:autoSpaceDN w:val="0"/>
        <w:adjustRightInd w:val="0"/>
        <w:spacing w:after="0" w:line="240" w:lineRule="auto"/>
        <w:rPr>
          <w:rFonts w:ascii="Times New Roman" w:hAnsi="Times New Roman"/>
          <w:bCs/>
          <w:color w:val="000000"/>
          <w:highlight w:val="lightGray"/>
          <w:lang w:val="lt-LT" w:eastAsia="lt-LT"/>
        </w:rPr>
      </w:pPr>
      <w:r w:rsidRPr="00B75015">
        <w:rPr>
          <w:rFonts w:ascii="Times New Roman" w:hAnsi="Times New Roman"/>
          <w:bCs/>
          <w:color w:val="000000"/>
          <w:highlight w:val="lightGray"/>
          <w:lang w:val="lt-LT" w:eastAsia="lt-LT"/>
        </w:rPr>
        <w:t>Airija</w:t>
      </w:r>
    </w:p>
    <w:p w:rsidR="00B1101E" w:rsidRDefault="00B1101E" w:rsidP="00B1101E">
      <w:pPr>
        <w:spacing w:after="0" w:line="240" w:lineRule="auto"/>
        <w:ind w:left="567" w:hanging="567"/>
        <w:rPr>
          <w:rFonts w:ascii="Times New Roman" w:hAnsi="Times New Roman"/>
          <w:lang w:val="lt-LT"/>
        </w:rPr>
      </w:pPr>
    </w:p>
    <w:p w:rsidR="00B1101E" w:rsidRDefault="00B1101E" w:rsidP="00B1101E">
      <w:pPr>
        <w:spacing w:after="0" w:line="240" w:lineRule="auto"/>
        <w:rPr>
          <w:rFonts w:ascii="Times New Roman" w:hAnsi="Times New Roman"/>
          <w:lang w:val="lt-LT"/>
        </w:rPr>
      </w:pPr>
      <w:r>
        <w:rPr>
          <w:rFonts w:ascii="Times New Roman" w:hAnsi="Times New Roman"/>
          <w:lang w:val="lt-LT"/>
        </w:rPr>
        <w:t>Jeigu apie šį vaistą norite sužinoti daugiau, kreipkitės į vietinį registruotojo atstovą.</w:t>
      </w:r>
    </w:p>
    <w:p w:rsidR="00B1101E" w:rsidRPr="00C95A2C" w:rsidRDefault="00B1101E" w:rsidP="00B1101E">
      <w:pPr>
        <w:spacing w:after="0" w:line="240" w:lineRule="auto"/>
        <w:rPr>
          <w:rFonts w:ascii="Times New Roman" w:hAnsi="Times New Roman"/>
          <w:lang w:val="lt-LT"/>
        </w:rPr>
      </w:pPr>
      <w:r w:rsidRPr="00C95A2C">
        <w:rPr>
          <w:rFonts w:ascii="Times New Roman" w:hAnsi="Times New Roman"/>
          <w:lang w:val="lt-LT"/>
        </w:rPr>
        <w:t>SIA Meda Pharma</w:t>
      </w:r>
    </w:p>
    <w:p w:rsidR="00B1101E" w:rsidRPr="00C95A2C" w:rsidRDefault="00B1101E" w:rsidP="00B1101E">
      <w:pPr>
        <w:spacing w:after="0" w:line="240" w:lineRule="auto"/>
        <w:rPr>
          <w:rFonts w:ascii="Times New Roman" w:hAnsi="Times New Roman"/>
          <w:lang w:val="pt-BR"/>
        </w:rPr>
      </w:pPr>
      <w:r w:rsidRPr="00C95A2C">
        <w:rPr>
          <w:rFonts w:ascii="Times New Roman" w:hAnsi="Times New Roman"/>
          <w:lang w:val="lt-LT"/>
        </w:rPr>
        <w:t xml:space="preserve">Tel. </w:t>
      </w:r>
      <w:r w:rsidRPr="00C95A2C">
        <w:rPr>
          <w:rFonts w:ascii="Times New Roman" w:hAnsi="Times New Roman"/>
          <w:lang w:val="pt-BR"/>
        </w:rPr>
        <w:t>+ 370</w:t>
      </w:r>
      <w:r>
        <w:rPr>
          <w:rFonts w:ascii="Times New Roman" w:hAnsi="Times New Roman"/>
          <w:lang w:val="pt-BR"/>
        </w:rPr>
        <w:t> </w:t>
      </w:r>
      <w:r w:rsidRPr="00985AD9">
        <w:rPr>
          <w:rFonts w:ascii="Times New Roman" w:hAnsi="Times New Roman"/>
          <w:lang w:val="pt-BR"/>
        </w:rPr>
        <w:t>5 205 12 88</w:t>
      </w:r>
    </w:p>
    <w:p w:rsidR="00B1101E" w:rsidRDefault="00B1101E" w:rsidP="00B1101E">
      <w:pPr>
        <w:spacing w:after="0" w:line="240" w:lineRule="auto"/>
        <w:rPr>
          <w:rFonts w:ascii="Times New Roman" w:hAnsi="Times New Roman"/>
          <w:lang w:val="lt-LT"/>
        </w:rPr>
      </w:pPr>
    </w:p>
    <w:p w:rsidR="00B1101E" w:rsidRDefault="00B1101E" w:rsidP="00B1101E">
      <w:pPr>
        <w:spacing w:after="0" w:line="240" w:lineRule="auto"/>
        <w:ind w:left="567" w:hanging="567"/>
        <w:rPr>
          <w:rFonts w:ascii="Times New Roman" w:hAnsi="Times New Roman"/>
          <w:b/>
          <w:lang w:val="lt-LT"/>
        </w:rPr>
      </w:pPr>
      <w:r>
        <w:rPr>
          <w:rFonts w:ascii="Times New Roman" w:hAnsi="Times New Roman"/>
          <w:b/>
          <w:bCs/>
          <w:lang w:val="lt-LT"/>
        </w:rPr>
        <w:t xml:space="preserve">Šis pakuotės </w:t>
      </w:r>
      <w:r>
        <w:rPr>
          <w:rFonts w:ascii="Times New Roman" w:hAnsi="Times New Roman"/>
          <w:b/>
          <w:lang w:val="lt-LT"/>
        </w:rPr>
        <w:t>lapelis paskutinį kartą peržiūrėtas 2022-02-25.</w:t>
      </w:r>
    </w:p>
    <w:p w:rsidR="00B1101E" w:rsidRDefault="00B1101E" w:rsidP="00B1101E">
      <w:pPr>
        <w:spacing w:after="0" w:line="240" w:lineRule="auto"/>
        <w:rPr>
          <w:rFonts w:ascii="Times New Roman" w:hAnsi="Times New Roman"/>
          <w:lang w:val="lt-LT"/>
        </w:rPr>
      </w:pPr>
    </w:p>
    <w:p w:rsidR="00B1101E" w:rsidRDefault="00B1101E" w:rsidP="00B1101E">
      <w:pPr>
        <w:spacing w:after="0" w:line="240" w:lineRule="auto"/>
        <w:rPr>
          <w:rFonts w:ascii="Times New Roman" w:hAnsi="Times New Roman"/>
          <w:lang w:val="lt-LT"/>
        </w:rPr>
      </w:pPr>
    </w:p>
    <w:p w:rsidR="00B1101E" w:rsidRDefault="00B1101E" w:rsidP="00B1101E">
      <w:pPr>
        <w:spacing w:after="0" w:line="240" w:lineRule="auto"/>
        <w:rPr>
          <w:rFonts w:ascii="Times New Roman" w:hAnsi="Times New Roman"/>
          <w:lang w:val="lt-LT"/>
        </w:rPr>
      </w:pPr>
      <w:r>
        <w:rPr>
          <w:rFonts w:ascii="Times New Roman" w:hAnsi="Times New Roman"/>
          <w:lang w:val="lt-LT"/>
        </w:rPr>
        <w:t>Išsami informacija apie šį vaistą pateikiama Valstybinės vaistų kontrolės tarnybos prie Lietuvos Respublikos sveikatos apsaugos ministerijos tinklalapyje</w:t>
      </w:r>
      <w:r>
        <w:rPr>
          <w:rFonts w:ascii="Times New Roman" w:hAnsi="Times New Roman"/>
          <w:i/>
          <w:lang w:val="lt-LT"/>
        </w:rPr>
        <w:t xml:space="preserve"> </w:t>
      </w:r>
      <w:hyperlink r:id="rId9" w:history="1">
        <w:r>
          <w:rPr>
            <w:rStyle w:val="Hyperlink"/>
            <w:rFonts w:ascii="Times New Roman" w:hAnsi="Times New Roman"/>
            <w:lang w:val="lt-LT"/>
          </w:rPr>
          <w:t>http://www.vvkt.lt/</w:t>
        </w:r>
      </w:hyperlink>
    </w:p>
    <w:p w:rsidR="00DD1038" w:rsidRDefault="00DD1038"/>
    <w:sectPr w:rsidR="00DD1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85A99"/>
    <w:multiLevelType w:val="hybridMultilevel"/>
    <w:tmpl w:val="17F0D0C4"/>
    <w:lvl w:ilvl="0" w:tplc="9F1224D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1E"/>
    <w:rsid w:val="00B1101E"/>
    <w:rsid w:val="00DD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9F230-E988-4B29-A1F2-EEE7B2D8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nfo@medapharma.de"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1590</Words>
  <Characters>9063</Characters>
  <Application>Microsoft Office Word</Application>
  <DocSecurity>0</DocSecurity>
  <Lines>75</Lines>
  <Paragraphs>21</Paragraphs>
  <ScaleCrop>false</ScaleCrop>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2022-03-22T08:42:00Z</dcterms:created>
  <dcterms:modified xsi:type="dcterms:W3CDTF">2022-03-22T08:42:00Z</dcterms:modified>
</cp:coreProperties>
</file>