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5C4" w:rsidRPr="00D47B1A" w:rsidRDefault="002075C4" w:rsidP="002075C4">
      <w:pPr>
        <w:spacing w:after="0" w:line="240" w:lineRule="auto"/>
        <w:jc w:val="center"/>
        <w:rPr>
          <w:rFonts w:ascii="Times New Roman" w:eastAsia="Calibri" w:hAnsi="Times New Roman" w:cs="Times New Roman"/>
          <w:b/>
          <w:lang w:eastAsia="lt-LT"/>
        </w:rPr>
      </w:pPr>
      <w:r w:rsidRPr="00D47B1A">
        <w:rPr>
          <w:rFonts w:ascii="Times New Roman" w:eastAsia="Calibri" w:hAnsi="Times New Roman" w:cs="Times New Roman"/>
          <w:b/>
          <w:lang w:eastAsia="lt-LT"/>
        </w:rPr>
        <w:t>Pakuotės lapelis: informacija vartotojui</w:t>
      </w:r>
    </w:p>
    <w:p w:rsidR="002075C4" w:rsidRPr="00D47B1A" w:rsidRDefault="002075C4" w:rsidP="002075C4">
      <w:pPr>
        <w:spacing w:after="0" w:line="240" w:lineRule="auto"/>
        <w:rPr>
          <w:rFonts w:ascii="Times New Roman" w:eastAsia="Calibri" w:hAnsi="Times New Roman" w:cs="Times New Roman"/>
          <w:b/>
          <w:lang w:eastAsia="lt-LT"/>
        </w:rPr>
      </w:pPr>
    </w:p>
    <w:p w:rsidR="002075C4" w:rsidRPr="00D47B1A" w:rsidRDefault="002075C4" w:rsidP="002075C4">
      <w:pPr>
        <w:spacing w:after="0" w:line="240" w:lineRule="auto"/>
        <w:jc w:val="center"/>
        <w:rPr>
          <w:rFonts w:ascii="Times New Roman" w:eastAsia="Calibri" w:hAnsi="Times New Roman" w:cs="Times New Roman"/>
          <w:b/>
          <w:lang w:eastAsia="lt-LT"/>
        </w:rPr>
      </w:pPr>
      <w:r w:rsidRPr="00D47B1A">
        <w:rPr>
          <w:rFonts w:ascii="Times New Roman" w:eastAsia="Calibri" w:hAnsi="Times New Roman" w:cs="Times New Roman"/>
          <w:b/>
          <w:lang w:eastAsia="lt-LT"/>
        </w:rPr>
        <w:t>Metindol 75 mg pailginto atpalaidavimo tabletės</w:t>
      </w:r>
    </w:p>
    <w:p w:rsidR="002075C4" w:rsidRPr="00D47B1A" w:rsidRDefault="002075C4" w:rsidP="002075C4">
      <w:pPr>
        <w:spacing w:after="0" w:line="240" w:lineRule="auto"/>
        <w:jc w:val="center"/>
        <w:rPr>
          <w:rFonts w:ascii="Times New Roman" w:eastAsia="Calibri" w:hAnsi="Times New Roman" w:cs="Times New Roman"/>
          <w:lang w:eastAsia="lt-LT"/>
        </w:rPr>
      </w:pPr>
      <w:r w:rsidRPr="00D47B1A">
        <w:rPr>
          <w:rFonts w:ascii="Times New Roman" w:eastAsia="Calibri" w:hAnsi="Times New Roman" w:cs="Times New Roman"/>
          <w:lang w:eastAsia="lt-LT"/>
        </w:rPr>
        <w:t>Indometacinas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Atidžiai  perskaitykite visą šį lapelį, prieš pradėdami vartoti vaistą, nes jame pateikiama Jums svarbi informacija..</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Neišmeskite šio lapelio, nes vėl gali prireikti jį perskaityti.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Jeigu kiltų klausimų, kreipkitės į gydytoją arba vaistininką.</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Šis vaistas skirtas  tik Jums, todėl kitiems žmonėms jo duoti negalima. Vaistas gali jiems pakenkti (net tiems, kurių ligos požymiai yra tokie patys kaip Jūsų).</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 xml:space="preserve">- </w:t>
      </w:r>
      <w:r w:rsidRPr="00D47B1A">
        <w:rPr>
          <w:rFonts w:ascii="Times New Roman" w:eastAsia="Calibri" w:hAnsi="Times New Roman" w:cs="Times New Roman"/>
          <w:lang w:eastAsia="lt-LT"/>
        </w:rPr>
        <w:tab/>
        <w:t>Jeigu pasireiškė šalutinis poveikis (net jeigu jis šiame lapelyje nenurodytas), kreipkitės į gydytoją arba vaistininką.</w:t>
      </w:r>
      <w:r>
        <w:rPr>
          <w:rFonts w:ascii="Times New Roman" w:eastAsia="Calibri" w:hAnsi="Times New Roman" w:cs="Times New Roman"/>
          <w:lang w:eastAsia="lt-LT"/>
        </w:rPr>
        <w:t xml:space="preserve"> Žr. 4 skyrių.</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Apie ką rašoma šiame lapelyje?</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1.</w:t>
      </w:r>
      <w:r w:rsidRPr="00D47B1A">
        <w:rPr>
          <w:rFonts w:ascii="Times New Roman" w:eastAsia="Calibri" w:hAnsi="Times New Roman" w:cs="Times New Roman"/>
          <w:lang w:eastAsia="lt-LT"/>
        </w:rPr>
        <w:tab/>
        <w:t>Kas yra Metindol ir kam jis vartojamas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2.</w:t>
      </w:r>
      <w:r w:rsidRPr="00D47B1A">
        <w:rPr>
          <w:rFonts w:ascii="Times New Roman" w:eastAsia="Calibri" w:hAnsi="Times New Roman" w:cs="Times New Roman"/>
          <w:lang w:eastAsia="lt-LT"/>
        </w:rPr>
        <w:tab/>
        <w:t>Kas žinotina prieš vartojant Metindol</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3.</w:t>
      </w:r>
      <w:r w:rsidRPr="00D47B1A">
        <w:rPr>
          <w:rFonts w:ascii="Times New Roman" w:eastAsia="Calibri" w:hAnsi="Times New Roman" w:cs="Times New Roman"/>
          <w:lang w:eastAsia="lt-LT"/>
        </w:rPr>
        <w:tab/>
        <w:t>Kaip vartoti Metindol</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4.</w:t>
      </w:r>
      <w:r w:rsidRPr="00D47B1A">
        <w:rPr>
          <w:rFonts w:ascii="Times New Roman" w:eastAsia="Calibri" w:hAnsi="Times New Roman" w:cs="Times New Roman"/>
          <w:lang w:eastAsia="lt-LT"/>
        </w:rPr>
        <w:tab/>
        <w:t>Galimas šalutinis poveikis</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5.</w:t>
      </w:r>
      <w:r w:rsidRPr="00D47B1A">
        <w:rPr>
          <w:rFonts w:ascii="Times New Roman" w:eastAsia="Calibri" w:hAnsi="Times New Roman" w:cs="Times New Roman"/>
          <w:lang w:eastAsia="lt-LT"/>
        </w:rPr>
        <w:tab/>
        <w:t>Kaip laikyti Metindol</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6.</w:t>
      </w:r>
      <w:r w:rsidRPr="00D47B1A">
        <w:rPr>
          <w:rFonts w:ascii="Times New Roman" w:eastAsia="Calibri" w:hAnsi="Times New Roman" w:cs="Times New Roman"/>
          <w:lang w:eastAsia="lt-LT"/>
        </w:rPr>
        <w:tab/>
        <w:t>Pakuotės turinys ir kita informacija</w:t>
      </w:r>
    </w:p>
    <w:p w:rsidR="002075C4" w:rsidRPr="00D47B1A" w:rsidRDefault="002075C4" w:rsidP="002075C4">
      <w:pPr>
        <w:spacing w:after="0" w:line="240" w:lineRule="auto"/>
        <w:jc w:val="both"/>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1.</w:t>
      </w:r>
      <w:r w:rsidRPr="00D47B1A">
        <w:rPr>
          <w:rFonts w:ascii="Times New Roman" w:eastAsia="Calibri" w:hAnsi="Times New Roman" w:cs="Times New Roman"/>
          <w:b/>
          <w:szCs w:val="20"/>
          <w:lang w:eastAsia="lt-LT"/>
        </w:rPr>
        <w:tab/>
        <w:t>Kas yra Metindol ir kam jis vartojamas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\Metindol yra nesteroidinis priešuždegiminis vaistas. Jis labai stipriai slopina uždegimą, šiek tiek silpniau – skausmą ir silpnai veikia karščiavimą. Jis šalina reumato sukeltus simptomus: uždegimą, skausmą, sąnarių patinimą ir stingimą, pagerina sąnarių mobilumą bei padidina atstumą, kurį ligonis gali nueiti, nejausdamas skausmo.</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Metindol gali būti vartojamas šiais atvejais: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Ūmaus ir lėtinio reumatoidinio artrito simptominis gydymas.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Ankilozinio spondilito simptominis gydymas.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Degeneracinių sąnarių ligų simptominis gydymas .</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Klubo sąnario uždegimo malšinimas.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Ūmaus skersaruožių raumenų uždegimo malšinimas.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Juosmens skausmo malšinimas.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Aplink sąnarį esančių audinių uždegimo (tepalinių maišelių, sausgyslių, tepalinės plėvės, sausgyslių ir jų   makščių bei kapsulės uždegimo) malšinimas.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Ortopedinių operacijų sukelto uždegimo, skausmo ir patinimo malšinimas.</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Pirminės dismenorėjos gydymas.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2.</w:t>
      </w:r>
      <w:r w:rsidRPr="00D47B1A">
        <w:rPr>
          <w:rFonts w:ascii="Times New Roman" w:eastAsia="Calibri" w:hAnsi="Times New Roman" w:cs="Times New Roman"/>
          <w:b/>
          <w:szCs w:val="20"/>
          <w:lang w:eastAsia="lt-LT"/>
        </w:rPr>
        <w:tab/>
        <w:t>Kas žinotina prieš vartojant Metindol</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Metindol vartoti negalima:</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jeigu yra  alergija (padidėjęs jautrumas) indometacinui arba bet kuriai pagalbinei šio vaisto medžiagai (jos išvardytos 6 skyriuje).</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jeigu yra padidėjęs jautrumas (alergija) acetilsalicilo rūgščiai arba kitiems nesteroidiniams vaistams nuo uždegimo.</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 xml:space="preserve">- </w:t>
      </w:r>
      <w:r w:rsidRPr="00D47B1A">
        <w:rPr>
          <w:rFonts w:ascii="Times New Roman" w:eastAsia="Calibri" w:hAnsi="Times New Roman" w:cs="Times New Roman"/>
          <w:lang w:eastAsia="lt-LT"/>
        </w:rPr>
        <w:tab/>
        <w:t>pacientams, kuriems pasireiškė astma, atsirado nosies polipų, angioneurozinė edema ar dilgėlinė pavartojus acetilsalicilo rūgšties ar kitų NVNU nesteroidinių vaistų nuo uždegimo.</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esant kraujavimui iš virškinimo trakto, kraujo išsiliejimui smegenyse ar esant kitiems kraujavimo sutrikimams.</w:t>
      </w:r>
    </w:p>
    <w:p w:rsidR="002075C4" w:rsidRPr="00D47B1A" w:rsidRDefault="002075C4" w:rsidP="002075C4">
      <w:pPr>
        <w:tabs>
          <w:tab w:val="left" w:pos="567"/>
        </w:tabs>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jeigu ankstesnio nesteroidinių priešuždegiminių vaistų vartojimo metu buvęs virškinimo trakto kraujavimas arba prakiurimas.</w:t>
      </w:r>
    </w:p>
    <w:p w:rsidR="002075C4" w:rsidRPr="00D47B1A" w:rsidRDefault="002075C4" w:rsidP="002075C4">
      <w:pPr>
        <w:tabs>
          <w:tab w:val="left" w:pos="567"/>
        </w:tabs>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 xml:space="preserve"> jeigu yra aktyvi pepsinė opa, atsinaujinanti pepsinė opa arba kraujavimas (2 arba daugiau patvirtinti išopėjimo arba kraujavimo epizodai).</w:t>
      </w:r>
    </w:p>
    <w:p w:rsidR="002075C4" w:rsidRPr="00D47B1A" w:rsidRDefault="002075C4" w:rsidP="002075C4">
      <w:pPr>
        <w:tabs>
          <w:tab w:val="left" w:pos="567"/>
        </w:tabs>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per paskutinius tris nėštumo mėnesius ir žindymo metu.</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sunkaus kepenų funkcijos sutrikimo atveju.</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sunkiu inkstų nepakankamumu sergantiems nedializuojamiems pacientams.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w:t>
      </w:r>
      <w:r w:rsidRPr="00D47B1A">
        <w:rPr>
          <w:rFonts w:ascii="Times New Roman" w:eastAsia="Calibri" w:hAnsi="Times New Roman" w:cs="Times New Roman"/>
          <w:lang w:eastAsia="lt-LT"/>
        </w:rPr>
        <w:tab/>
        <w:t>esant sunkiam širdies nepakankamumui, kai gydymas nėra veiksmingas.</w:t>
      </w:r>
    </w:p>
    <w:p w:rsidR="002075C4"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Įspėjimai ir atsargumo priemonės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szCs w:val="20"/>
          <w:lang w:eastAsia="lt-LT"/>
        </w:rPr>
        <w:t xml:space="preserve">Pasitarkite su gydytoju arba vaistininku, prieš pradėdami vartoti Metindol, </w:t>
      </w:r>
      <w:r w:rsidRPr="00D47B1A">
        <w:rPr>
          <w:rFonts w:ascii="Times New Roman" w:eastAsia="Calibri" w:hAnsi="Times New Roman" w:cs="Times New Roman"/>
          <w:lang w:eastAsia="lt-LT"/>
        </w:rPr>
        <w:tab/>
        <w:t>jeigu Jūs sergate:</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virškinamojo trakto opomis, ypač kurios komplikavosi kraujavimu ar prakiurimu (padidėja kraujavimo iš virškinamojo trakto, išopėjimo ir prakiurimo pavojus);</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alerginėmis ligomis ir bronchine astma (padidėja bronchų spazmo rizika);</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kepenų nepakankamumu (šiek tiek padidėja geltos rizika) ir inkstų nepakankamumu (tokių pacientų vaisto koncentracija kraujo plazmoje gali labai padidėti);</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infekcinėmis ligomis (vaistas gali maskuoti jų simptomus);</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širdies ligomis, hipertenzija ir kitomis ligomis, kurios sukelia skysčių susilaikymą organizme (vaistas gali sustiprinti skysčių kaupimąsi organizme, didinti kraujo spaudimą ir taip pasunkinti širdies ligą);</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kraujo krešėjimo sutrikimais (vartojant vaisto, šie sutrikimai gali sustiprėti);</w:t>
      </w:r>
    </w:p>
    <w:p w:rsidR="002075C4" w:rsidRPr="00D47B1A" w:rsidRDefault="002075C4" w:rsidP="002075C4">
      <w:pPr>
        <w:numPr>
          <w:ilvl w:val="0"/>
          <w:numId w:val="2"/>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opiniu kolitu ar Krono liga, nes indometacinas gali sustiprinti pilvo skausmus;</w:t>
      </w:r>
    </w:p>
    <w:p w:rsidR="002075C4" w:rsidRPr="00D47B1A" w:rsidRDefault="002075C4" w:rsidP="002075C4">
      <w:pPr>
        <w:numPr>
          <w:ilvl w:val="0"/>
          <w:numId w:val="2"/>
        </w:numPr>
        <w:tabs>
          <w:tab w:val="left" w:pos="567"/>
        </w:tabs>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hipertenzija, širdies nepakankamumu (nes užfiksuota skysčių susilaikymo organizme ir edemos atvejų).</w:t>
      </w:r>
    </w:p>
    <w:p w:rsidR="002075C4" w:rsidRPr="00D47B1A" w:rsidRDefault="002075C4" w:rsidP="002075C4">
      <w:pPr>
        <w:numPr>
          <w:ilvl w:val="0"/>
          <w:numId w:val="1"/>
        </w:numPr>
        <w:spacing w:after="0" w:line="240" w:lineRule="auto"/>
        <w:ind w:hanging="1440"/>
        <w:rPr>
          <w:rFonts w:ascii="Times New Roman" w:eastAsia="Calibri" w:hAnsi="Times New Roman" w:cs="Times New Roman"/>
          <w:lang w:eastAsia="lt-LT"/>
        </w:rPr>
      </w:pPr>
      <w:r w:rsidRPr="00D47B1A">
        <w:rPr>
          <w:rFonts w:ascii="Times New Roman" w:eastAsia="Calibri" w:hAnsi="Times New Roman" w:cs="Times New Roman"/>
          <w:lang w:eastAsia="lt-LT"/>
        </w:rPr>
        <w:t>esate senyvo amžiaus(nes padidėja nepageidaujamo poveikio tikimybė).</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Tokie vaistai, kaip Metindol, gali būti susiję su nedideliu širdies priepuolio („miokardo infarkto“) ar insulto pavojaus padidėjimu. Bet koks pavojus yra labiau tikėtinas ilgą laiką vartojant vaistą didelėmis dozėmis. Neviršykite rekomenduotos dozės ar gydymo laiko.</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Jei Jūsų širdies veikla yra sutrikusi, patyrėte insultą arba galvojate, kad Jums galėtų grėsti šios būklės (pavyzdžiui, Jūsų kraujospūdis yra padidėjęs, sergate diabetu, turite daug cholesterolio arba rūkote), turite aptarti gydymą su savo gydytoju arba vaistininku.</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Vaistas gali sukelti virškinimo trakto pažeidimą ir kraujavimą iš jo. Jei atsiranda kraujavimo iš virškinamojo trakto požymių, indometacino vartojimą būtina nedelsiant nutraukti.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Nepageidaujamą poveikį virškinimo traktui galima sumažinti geriant vaisto kartu su maistu, pienu ar skrandžio rūgštis neutralizuojančiomis medžiagomis.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Vartojant indometacino, gali atsirasti alergijos simptomų: niežėjimas, dilgėlinė, mazginė eritema, angitas, odos bėrimas ir plaukų slinkimas. Retais atvejais buvo stebėtas ūmus kvėpavimo nepakankamumas (dusulys, astma).</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Vaistas veikia trombocitus ir didina kraujavimo riziką (ypač tiems ligoniams, kurie ir taip turi didesnę kraujavimo riziką).</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Gydymo metu turi būti reguliariai tikrinamas kraujo ląstelių skaičius, kepenų ir inkstų funkcija.Vaistas gali turėti įtakos kai kurių laboratorinių tyrimų - kalio koncentracijos kraujyje ir kepenų funkcijos -  rezultatams. Jei kepenų funkcijos tyrimų nukrypimai išlieka arba didėja, arba jeigu kartu atsiranda sisteminių (eozinofilija ir bėrimas) arba kepenų nepakankamumo požymių, būtina kreiptis į gydytoją ir gali tekti nedelsiant nutraukti vaisto vartojimą.</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Vaistas taip pat gali sąlygoti klaidingai neigiamą deksametazono supresijos tyrimo rezultatą ir padidintą gliukozės kiekį šlapime.</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Kiti vaistai ir Metindol</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Jeigu vartojate ar neseniai vartojote kitų vaistų arba dėl to nesate tikri, apie tai pasakykite gydytojui arba vaistininkui.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Indometacinas gali sąveikauti su kai kuriais vaistais, pvz.: acetilsalicilo rūgštimi ir jos junginiais (jie dažnai vartojami gydyti peršalimui ir parduodami be recepto), diflunisaliu, antikoaguliantais ir trombolitikais, kaulų čiulpų funkciją slopinančiais vaistais, triamterenu, metotreksatu, probenecidu, kai kuriais antihipertenziniais vaistais (beta blokatoriais, tiazidiniais diuretikais, furozemidu), kortikosteroidais, ličio druskomis, vaistais nuo cukrinio diabeto.</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Kai kartu su Metindol vartojamas digoksinas (vaistas širdies veiklai stiprinti), fenitoinas (vaistas traukuliams slopinti) ir litis (vaistas psichinės veiklos sutrikimams gydyti) gali padidėti šių vaistų koncentracija kraujo serume.</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 xml:space="preserve">Metindol gali susilpninti AKF inhibitorių (vaistų, vartojamų širdies veiklos silpnumui arba padidėjusiam kraujospūdžiui gydyti) ir </w:t>
      </w:r>
      <w:r w:rsidRPr="00D47B1A">
        <w:rPr>
          <w:rFonts w:ascii="Times New Roman" w:eastAsia="Calibri" w:hAnsi="Times New Roman" w:cs="Times New Roman"/>
          <w:szCs w:val="20"/>
          <w:lang w:eastAsia="lt-LT"/>
        </w:rPr>
        <w:t>angiotenzino II receptorių antagonistų</w:t>
      </w:r>
      <w:r w:rsidRPr="00D47B1A">
        <w:rPr>
          <w:rFonts w:ascii="Times New Roman" w:eastAsia="Times New Roman" w:hAnsi="Times New Roman" w:cs="Times New Roman"/>
          <w:szCs w:val="20"/>
          <w:lang w:eastAsia="lt-LT"/>
        </w:rPr>
        <w:t xml:space="preserve"> </w:t>
      </w:r>
      <w:r w:rsidRPr="00D47B1A">
        <w:rPr>
          <w:rFonts w:ascii="Times New Roman" w:eastAsia="Calibri" w:hAnsi="Times New Roman" w:cs="Times New Roman"/>
          <w:lang w:eastAsia="lt-LT"/>
        </w:rPr>
        <w:t xml:space="preserve"> poveikį.</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Metindol vartojant kartu su kalio sankaupą sukeliančiais diuretikais (šlapimo išsiskyrimą skatinantys vaistai) gali padidėti kalio kiekis kraujyje.</w:t>
      </w:r>
    </w:p>
    <w:p w:rsidR="002075C4" w:rsidRDefault="002075C4" w:rsidP="002075C4">
      <w:pPr>
        <w:autoSpaceDE w:val="0"/>
        <w:autoSpaceDN w:val="0"/>
        <w:adjustRightInd w:val="0"/>
        <w:spacing w:after="0" w:line="240" w:lineRule="auto"/>
        <w:rPr>
          <w:rFonts w:ascii="Times New Roman" w:eastAsia="Calibri" w:hAnsi="Times New Roman" w:cs="Times New Roman"/>
          <w:color w:val="000000"/>
          <w:lang w:eastAsia="lt-LT"/>
        </w:rPr>
      </w:pPr>
      <w:r w:rsidRPr="00D47B1A">
        <w:rPr>
          <w:rFonts w:ascii="Times New Roman" w:eastAsia="Calibri" w:hAnsi="Times New Roman" w:cs="Times New Roman"/>
          <w:sz w:val="24"/>
          <w:lang w:eastAsia="lt-LT"/>
        </w:rPr>
        <w:t>Metindol v</w:t>
      </w:r>
      <w:r w:rsidRPr="00D47B1A">
        <w:rPr>
          <w:rFonts w:ascii="Times New Roman" w:eastAsia="Calibri" w:hAnsi="Times New Roman" w:cs="Times New Roman"/>
          <w:color w:val="000000"/>
          <w:lang w:eastAsia="lt-LT"/>
        </w:rPr>
        <w:t>artojant kartu su penicilino grupės antibiotikais, pailgėja jų išsiskyrimas iš organizmo.</w:t>
      </w:r>
    </w:p>
    <w:p w:rsidR="002075C4" w:rsidRPr="00D47B1A" w:rsidRDefault="002075C4" w:rsidP="002075C4">
      <w:pPr>
        <w:spacing w:after="0" w:line="240" w:lineRule="auto"/>
        <w:rPr>
          <w:rFonts w:ascii="Times New Roman" w:eastAsia="Calibri" w:hAnsi="Times New Roman" w:cs="Times New Roman"/>
          <w:b/>
          <w:szCs w:val="20"/>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Nėštumas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Jeigu esate nėščia, žindote kūdikį, manote, kad galbūt esate nėščia arba planuojate pastoti, tai prieš vartodama šį vaistą, pasitarkite su gydytoju arba vaistininku.</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Pirmųjų dviejų nėštumo trimestrų metu vaisto galima vartoti tik tokiu atveju, jei gydytojas mano, kad potenciali nauda motinai yra didesnė negu pavojus vaisiui. Paskutiniojo trimestro metu vaistą vartoti negalima.</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Žindymo laikotarpis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Vaisto vartoti žindymo laikotarpiu negalima.</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Vairavimas ir mechanizmų valdymas</w:t>
      </w:r>
    </w:p>
    <w:p w:rsidR="002075C4" w:rsidRPr="00D47B1A" w:rsidRDefault="002075C4" w:rsidP="002075C4">
      <w:pPr>
        <w:spacing w:after="0" w:line="240" w:lineRule="auto"/>
        <w:rPr>
          <w:rFonts w:ascii="Times New Roman" w:eastAsia="Calibri" w:hAnsi="Times New Roman" w:cs="Times New Roman"/>
          <w:b/>
          <w:szCs w:val="20"/>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Kadangi vartojant Metindol gali atsirasti galvos svaigimas, reikia vengti vairuoti automobilį ir valdyti mechanizmus.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keepNext/>
        <w:spacing w:after="0" w:line="240" w:lineRule="auto"/>
        <w:outlineLvl w:val="1"/>
        <w:rPr>
          <w:rFonts w:ascii="Times New Roman" w:eastAsia="Calibri" w:hAnsi="Times New Roman" w:cs="Times New Roman"/>
          <w:b/>
          <w:bCs/>
          <w:lang w:eastAsia="lt-LT"/>
        </w:rPr>
      </w:pPr>
      <w:r w:rsidRPr="00D47B1A">
        <w:rPr>
          <w:rFonts w:ascii="Times New Roman" w:eastAsia="Calibri" w:hAnsi="Times New Roman" w:cs="Times New Roman"/>
          <w:b/>
          <w:bCs/>
          <w:lang w:eastAsia="lt-LT"/>
        </w:rPr>
        <w:t>3.</w:t>
      </w:r>
      <w:r w:rsidRPr="00D47B1A">
        <w:rPr>
          <w:rFonts w:ascii="Times New Roman" w:eastAsia="Calibri" w:hAnsi="Times New Roman" w:cs="Times New Roman"/>
          <w:b/>
          <w:bCs/>
          <w:lang w:eastAsia="lt-LT"/>
        </w:rPr>
        <w:tab/>
        <w:t>Kaip vartoti Metindol</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Visada vartokite šį vaistą tiksliai kaip nurodė gydytojas. Jeigu abejojate, kreipkitės į gydytoją arba vaistininką.</w:t>
      </w:r>
    </w:p>
    <w:p w:rsidR="002075C4" w:rsidRPr="00D47B1A" w:rsidRDefault="002075C4" w:rsidP="002075C4">
      <w:pPr>
        <w:spacing w:after="0" w:line="240" w:lineRule="auto"/>
        <w:rPr>
          <w:rFonts w:ascii="Times New Roman" w:eastAsia="Calibri" w:hAnsi="Times New Roman" w:cs="Times New Roman"/>
          <w:i/>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Rekomenduojama dozė yra:</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raumenų-kaulų-sąnarių sistemos ligos: priklausomai nuo gydymo efektyvumo ir toleravimo, reikia gerti po 1 pailginto atpalaidavimo tabletę 1 arba 2 kartus per parą (75-150 mg indometacino per parą).</w:t>
      </w:r>
    </w:p>
    <w:p w:rsidR="002075C4" w:rsidRPr="00D47B1A" w:rsidRDefault="002075C4" w:rsidP="002075C4">
      <w:pPr>
        <w:numPr>
          <w:ilvl w:val="0"/>
          <w:numId w:val="1"/>
        </w:num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skausmingos mėnesinės: prasidėjus spazmams ar kraujavimui, reikia kasdien gerti po 1 pailginto atpalaidavimo tabletę (75 mg indometacino) tiek dienų, kiek paprastai trunka simptomai.</w:t>
      </w:r>
    </w:p>
    <w:p w:rsidR="002075C4" w:rsidRDefault="002075C4" w:rsidP="002075C4">
      <w:pPr>
        <w:spacing w:after="0" w:line="240" w:lineRule="auto"/>
        <w:jc w:val="both"/>
        <w:rPr>
          <w:rFonts w:ascii="Times New Roman" w:eastAsia="Calibri" w:hAnsi="Times New Roman" w:cs="Times New Roman"/>
          <w:lang w:eastAsia="lt-LT"/>
        </w:rPr>
      </w:pPr>
      <w:r w:rsidRPr="00D47B1A">
        <w:rPr>
          <w:rFonts w:ascii="Times New Roman" w:eastAsia="Calibri" w:hAnsi="Times New Roman" w:cs="Times New Roman"/>
          <w:lang w:eastAsia="lt-LT"/>
        </w:rPr>
        <w:t>Didžiausia leistina vaisto paros dozė yra 150 mg. Šios dozės viršyti negalima.</w:t>
      </w:r>
    </w:p>
    <w:p w:rsidR="002075C4" w:rsidRPr="00D47B1A" w:rsidRDefault="002075C4" w:rsidP="002075C4">
      <w:pPr>
        <w:spacing w:after="0" w:line="240" w:lineRule="auto"/>
        <w:rPr>
          <w:rFonts w:ascii="Times New Roman" w:eastAsia="Calibri" w:hAnsi="Times New Roman" w:cs="Times New Roman"/>
          <w:i/>
          <w:u w:val="single"/>
          <w:lang w:eastAsia="lt-LT"/>
        </w:rPr>
      </w:pPr>
    </w:p>
    <w:p w:rsidR="002075C4" w:rsidRPr="00D47B1A" w:rsidRDefault="002075C4" w:rsidP="002075C4">
      <w:pPr>
        <w:spacing w:after="0" w:line="240" w:lineRule="auto"/>
        <w:rPr>
          <w:rFonts w:ascii="Times New Roman" w:eastAsia="Calibri" w:hAnsi="Times New Roman" w:cs="Times New Roman"/>
          <w:i/>
          <w:u w:val="single"/>
          <w:lang w:eastAsia="lt-LT"/>
        </w:rPr>
      </w:pPr>
      <w:r w:rsidRPr="00D47B1A">
        <w:rPr>
          <w:rFonts w:ascii="Times New Roman" w:eastAsia="Calibri" w:hAnsi="Times New Roman" w:cs="Times New Roman"/>
          <w:i/>
          <w:u w:val="single"/>
          <w:lang w:eastAsia="lt-LT"/>
        </w:rPr>
        <w:t>Senyviems pacientams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Vaistą vartoti ypač atsargiai, mažiausią efektyvią dozę, kadangi dažniau galimas nepageidaujamas poveikis.</w:t>
      </w:r>
    </w:p>
    <w:p w:rsidR="002075C4" w:rsidRPr="00D47B1A" w:rsidRDefault="002075C4" w:rsidP="002075C4">
      <w:pPr>
        <w:spacing w:after="0" w:line="240" w:lineRule="auto"/>
        <w:rPr>
          <w:rFonts w:ascii="Times New Roman" w:eastAsia="Calibri" w:hAnsi="Times New Roman" w:cs="Times New Roman"/>
          <w:i/>
          <w:u w:val="single"/>
          <w:lang w:eastAsia="lt-LT"/>
        </w:rPr>
      </w:pPr>
    </w:p>
    <w:p w:rsidR="002075C4" w:rsidRPr="00D47B1A" w:rsidRDefault="002075C4" w:rsidP="002075C4">
      <w:pPr>
        <w:spacing w:after="0" w:line="240" w:lineRule="auto"/>
        <w:rPr>
          <w:rFonts w:ascii="Times New Roman" w:eastAsia="Calibri" w:hAnsi="Times New Roman" w:cs="Times New Roman"/>
          <w:i/>
          <w:u w:val="single"/>
          <w:lang w:eastAsia="lt-LT"/>
        </w:rPr>
      </w:pPr>
      <w:r w:rsidRPr="00D47B1A">
        <w:rPr>
          <w:rFonts w:ascii="Times New Roman" w:eastAsia="Calibri" w:hAnsi="Times New Roman" w:cs="Times New Roman"/>
          <w:i/>
          <w:u w:val="single"/>
          <w:lang w:eastAsia="lt-LT"/>
        </w:rPr>
        <w:t>Pacientams, kurių inkstųfunkcija sutrikusi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Rekomenduojama mažinti dozę, kadangi medikamentas gali kauptis organizme.</w:t>
      </w:r>
    </w:p>
    <w:p w:rsidR="002075C4" w:rsidRPr="00D47B1A" w:rsidRDefault="002075C4" w:rsidP="002075C4">
      <w:pPr>
        <w:spacing w:after="0" w:line="240" w:lineRule="auto"/>
        <w:rPr>
          <w:rFonts w:ascii="Times New Roman" w:eastAsia="Calibri" w:hAnsi="Times New Roman" w:cs="Times New Roman"/>
          <w:i/>
          <w:u w:val="single"/>
          <w:lang w:eastAsia="lt-LT"/>
        </w:rPr>
      </w:pPr>
    </w:p>
    <w:p w:rsidR="002075C4" w:rsidRPr="00D47B1A" w:rsidRDefault="002075C4" w:rsidP="002075C4">
      <w:pPr>
        <w:spacing w:after="0" w:line="240" w:lineRule="auto"/>
        <w:rPr>
          <w:rFonts w:ascii="Times New Roman" w:eastAsia="Calibri" w:hAnsi="Times New Roman" w:cs="Times New Roman"/>
          <w:i/>
          <w:u w:val="single"/>
          <w:lang w:eastAsia="lt-LT"/>
        </w:rPr>
      </w:pPr>
      <w:r w:rsidRPr="00D47B1A">
        <w:rPr>
          <w:rFonts w:ascii="Times New Roman" w:eastAsia="Calibri" w:hAnsi="Times New Roman" w:cs="Times New Roman"/>
          <w:i/>
          <w:u w:val="single"/>
          <w:lang w:eastAsia="lt-LT"/>
        </w:rPr>
        <w:t>Pacientams, kurių kepenų funkcija sutrikusi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Dozės koreguoti nereikia.</w:t>
      </w:r>
    </w:p>
    <w:p w:rsidR="002075C4" w:rsidRPr="00D47B1A" w:rsidRDefault="002075C4" w:rsidP="002075C4">
      <w:pPr>
        <w:spacing w:after="0" w:line="240" w:lineRule="auto"/>
        <w:jc w:val="both"/>
        <w:rPr>
          <w:rFonts w:ascii="Times New Roman" w:eastAsia="Calibri" w:hAnsi="Times New Roman" w:cs="Times New Roman"/>
          <w:color w:val="FF6600"/>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b/>
          <w:lang w:eastAsia="lt-LT"/>
        </w:rPr>
        <w:t>Pastaba:</w:t>
      </w:r>
      <w:r w:rsidRPr="00D47B1A">
        <w:rPr>
          <w:rFonts w:ascii="Times New Roman" w:eastAsia="Calibri" w:hAnsi="Times New Roman" w:cs="Times New Roman"/>
          <w:lang w:eastAsia="lt-LT"/>
        </w:rPr>
        <w:t xml:space="preserve"> Kad nepageidaujamo poveikio virškinimo traktui pavojus sumažėtų, vaistą reikia gerti valgio metu arba užsigerti stikline pieno. Pailginto atpalaidavimo tabletę reikia nuryti visą, nekramtant ir nesmulkinant.</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Vartojimas vaikams ir paaugliams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Ar vaistu gydyti vaikus saugu, nežinoma, todėl šio vaisto vartoti vaikams nerekomenduojama.</w:t>
      </w:r>
    </w:p>
    <w:p w:rsidR="002075C4" w:rsidRPr="00D47B1A" w:rsidRDefault="002075C4" w:rsidP="002075C4">
      <w:pPr>
        <w:spacing w:after="0" w:line="240" w:lineRule="auto"/>
        <w:rPr>
          <w:rFonts w:ascii="Times New Roman" w:eastAsia="Calibri" w:hAnsi="Times New Roman" w:cs="Times New Roman"/>
          <w:b/>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Ką daryti pavartojus per didelę Metindol dozę</w:t>
      </w:r>
    </w:p>
    <w:p w:rsidR="002075C4" w:rsidRPr="00D47B1A" w:rsidRDefault="002075C4" w:rsidP="002075C4">
      <w:pPr>
        <w:spacing w:after="0" w:line="240" w:lineRule="auto"/>
        <w:rPr>
          <w:rFonts w:ascii="Times New Roman" w:eastAsia="Calibri" w:hAnsi="Times New Roman" w:cs="Times New Roman"/>
          <w:b/>
          <w:szCs w:val="20"/>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Išgėrus per didelę vaisto dozę, gali atsirasti pykinimas, vėmimas, stiprus galvos skausmas, svaigimas, sumišimas, koma, parestezijos, tirpimas ir traukuliai.</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Perdozavimo atveju būtina nedelsiant  kreiptis į gydytoją, kuris, jei reikia, paskirs tinkamą gydymą (sukels vėmimą, išplaus skrandį, skirs aktyvintosios anglies).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Pamiršus pavartoti Metindol</w:t>
      </w: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Negalima vartoti dvigubos dozės norint kompensuoti praleistą tabletę.</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keepNext/>
        <w:spacing w:after="0" w:line="240" w:lineRule="auto"/>
        <w:outlineLvl w:val="1"/>
        <w:rPr>
          <w:rFonts w:ascii="Times New Roman" w:eastAsia="Calibri" w:hAnsi="Times New Roman" w:cs="Times New Roman"/>
          <w:b/>
          <w:bCs/>
          <w:lang w:eastAsia="lt-LT"/>
        </w:rPr>
      </w:pPr>
      <w:r w:rsidRPr="00D47B1A">
        <w:rPr>
          <w:rFonts w:ascii="Times New Roman" w:eastAsia="Calibri" w:hAnsi="Times New Roman" w:cs="Times New Roman"/>
          <w:b/>
          <w:bCs/>
          <w:lang w:eastAsia="lt-LT"/>
        </w:rPr>
        <w:t>4.</w:t>
      </w:r>
      <w:r w:rsidRPr="00D47B1A">
        <w:rPr>
          <w:rFonts w:ascii="Times New Roman" w:eastAsia="Calibri" w:hAnsi="Times New Roman" w:cs="Times New Roman"/>
          <w:b/>
          <w:bCs/>
          <w:lang w:eastAsia="lt-LT"/>
        </w:rPr>
        <w:tab/>
        <w:t>Galimas šalutinis poveikis</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Šis vaistas, kaip ir visi kiti, gali sukelti šalutinį poveikį, nors jis pasireiškia ne visiems žmonėms.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Tokie vaistai, kaip Metindol, gali būti susiję su širdies priepuolio („miokardo infarkto“) ar insulto pavojaus nedideliu padidėjimu.</w:t>
      </w:r>
    </w:p>
    <w:p w:rsidR="002075C4" w:rsidRPr="00D47B1A" w:rsidRDefault="002075C4" w:rsidP="002075C4">
      <w:pPr>
        <w:spacing w:after="0" w:line="240" w:lineRule="auto"/>
        <w:rPr>
          <w:rFonts w:ascii="Times New Roman" w:eastAsia="Calibri" w:hAnsi="Times New Roman" w:cs="Times New Roman"/>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Širdies sutrikimai</w:t>
      </w:r>
      <w:r w:rsidRPr="00D47B1A">
        <w:rPr>
          <w:rFonts w:ascii="Times New Roman" w:eastAsia="Calibri" w:hAnsi="Times New Roman" w:cs="Times New Roman"/>
          <w:bCs/>
          <w:noProof/>
          <w:u w:val="single"/>
          <w:lang w:val="da-DK" w:eastAsia="lt-LT"/>
        </w:rPr>
        <w:t>:</w:t>
      </w:r>
      <w:r w:rsidRPr="00D47B1A">
        <w:rPr>
          <w:rFonts w:ascii="Times New Roman" w:eastAsia="Calibri" w:hAnsi="Times New Roman" w:cs="Times New Roman"/>
          <w:lang w:eastAsia="lt-LT"/>
        </w:rPr>
        <w:t xml:space="preserve"> edema, tachikardija, palpitacija, krūtinės skausmas, aritmija, širdies nepakankamumas.</w:t>
      </w:r>
    </w:p>
    <w:p w:rsidR="002075C4" w:rsidRPr="00D47B1A" w:rsidRDefault="002075C4" w:rsidP="002075C4">
      <w:pPr>
        <w:spacing w:after="0" w:line="240" w:lineRule="auto"/>
        <w:rPr>
          <w:rFonts w:ascii="Times New Roman" w:eastAsia="Calibri" w:hAnsi="Times New Roman" w:cs="Times New Roman"/>
          <w:noProof/>
          <w:u w:val="single"/>
          <w:lang w:val="es-ES"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val="es-ES" w:eastAsia="lt-LT"/>
        </w:rPr>
        <w:t>Kraujo ir limfinės sistemos sutrikimai</w:t>
      </w:r>
      <w:r w:rsidRPr="00D47B1A">
        <w:rPr>
          <w:rFonts w:ascii="Times New Roman" w:eastAsia="Calibri" w:hAnsi="Times New Roman" w:cs="Times New Roman"/>
          <w:noProof/>
          <w:u w:val="single"/>
          <w:lang w:eastAsia="lt-LT"/>
        </w:rPr>
        <w:t>:</w:t>
      </w:r>
      <w:r w:rsidRPr="00D47B1A">
        <w:rPr>
          <w:rFonts w:ascii="Times New Roman" w:eastAsia="Calibri" w:hAnsi="Times New Roman" w:cs="Times New Roman"/>
          <w:noProof/>
          <w:lang w:eastAsia="lt-LT"/>
        </w:rPr>
        <w:t xml:space="preserve"> </w:t>
      </w:r>
      <w:r w:rsidRPr="00D47B1A">
        <w:rPr>
          <w:rFonts w:ascii="Times New Roman" w:eastAsia="Calibri" w:hAnsi="Times New Roman" w:cs="Times New Roman"/>
          <w:lang w:eastAsia="lt-LT"/>
        </w:rPr>
        <w:t>trombocitopenija, leukopenija, aplastinė ir hemolizinė anemija, agranuliocitozė, kaulų čiulpų supresija, diseminuota intravazalinė koaguliacija, petechijos, ekchimozė, purpura, kraujavimas iš nosies.</w:t>
      </w:r>
    </w:p>
    <w:p w:rsidR="002075C4" w:rsidRPr="00D47B1A" w:rsidRDefault="002075C4" w:rsidP="002075C4">
      <w:pPr>
        <w:spacing w:after="0" w:line="240" w:lineRule="auto"/>
        <w:rPr>
          <w:rFonts w:ascii="Times New Roman" w:eastAsia="Calibri" w:hAnsi="Times New Roman" w:cs="Times New Roman"/>
          <w:noProof/>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val="sv-SE" w:eastAsia="lt-LT"/>
        </w:rPr>
        <w:t>Nervų sistemos sutrikimai</w:t>
      </w:r>
      <w:r w:rsidRPr="00D47B1A">
        <w:rPr>
          <w:rFonts w:ascii="Times New Roman" w:eastAsia="Calibri" w:hAnsi="Times New Roman" w:cs="Times New Roman"/>
          <w:bCs/>
          <w:noProof/>
          <w:u w:val="single"/>
          <w:lang w:eastAsia="lt-LT"/>
        </w:rPr>
        <w:t>:</w:t>
      </w:r>
      <w:r w:rsidRPr="00D47B1A">
        <w:rPr>
          <w:rFonts w:ascii="Times New Roman" w:eastAsia="Calibri" w:hAnsi="Times New Roman" w:cs="Times New Roman"/>
          <w:lang w:eastAsia="lt-LT"/>
        </w:rPr>
        <w:t xml:space="preserve"> galvos skausmas, svaigimas, apsvaigimas, depresija, nuovargis, sumišimas, mieguistumas, nerimas, sujaudinimas, traukuliai, parestezijos, neuropatija, nevalingi judesiai, epilepsijos ar Parkinsono ligos pasunkėjimas, psichiatriniai sutrikimai. Dažniausiai šie simptomai yra laikini ir praeina tęsiant gydymą. Tačiau kartais dėl jų tenka nutraukti medikamento vartojimą.</w:t>
      </w:r>
    </w:p>
    <w:p w:rsidR="002075C4" w:rsidRPr="00D47B1A" w:rsidRDefault="002075C4" w:rsidP="002075C4">
      <w:pPr>
        <w:spacing w:after="0" w:line="240" w:lineRule="auto"/>
        <w:rPr>
          <w:rFonts w:ascii="Times New Roman" w:eastAsia="Calibri" w:hAnsi="Times New Roman" w:cs="Times New Roman"/>
          <w:noProof/>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Akių sutrikimai:</w:t>
      </w:r>
      <w:r w:rsidRPr="00D47B1A">
        <w:rPr>
          <w:rFonts w:ascii="Times New Roman" w:eastAsia="Calibri" w:hAnsi="Times New Roman" w:cs="Times New Roman"/>
          <w:lang w:eastAsia="lt-LT"/>
        </w:rPr>
        <w:t xml:space="preserve"> sutrikęs matymas, skausmas apie akies obuolį. Pacientams, sergantiems reumatoidiniu artritu ir ilgą laiką vartojusiems indometacino, buvo stebėtos sankaupos ragenoje ir tinklainės pakitimai (tačiau panašūs pakitimai pastebėti ir pacientams, kurie nevartojo vaisto).</w:t>
      </w:r>
    </w:p>
    <w:p w:rsidR="002075C4" w:rsidRPr="00D47B1A" w:rsidRDefault="002075C4" w:rsidP="002075C4">
      <w:pPr>
        <w:spacing w:after="0" w:line="240" w:lineRule="auto"/>
        <w:rPr>
          <w:rFonts w:ascii="Times New Roman" w:eastAsia="Calibri" w:hAnsi="Times New Roman" w:cs="Times New Roman"/>
          <w:lang w:eastAsia="lt-LT"/>
        </w:rPr>
      </w:pP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Ausų ir labirintų sutrikimai: ūžimas ausyse, klausos sutrikimai, retai kurtumas.</w:t>
      </w:r>
    </w:p>
    <w:p w:rsidR="002075C4" w:rsidRPr="00D47B1A" w:rsidRDefault="002075C4" w:rsidP="002075C4">
      <w:pPr>
        <w:spacing w:after="0" w:line="240" w:lineRule="auto"/>
        <w:rPr>
          <w:rFonts w:ascii="Times New Roman" w:eastAsia="Calibri" w:hAnsi="Times New Roman" w:cs="Times New Roman"/>
          <w:noProof/>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Kvėpavimo sistemos, krūtinės ląstos ir tarpuplaučio sutrikimai:</w:t>
      </w:r>
      <w:r w:rsidRPr="00D47B1A">
        <w:rPr>
          <w:rFonts w:ascii="Times New Roman" w:eastAsia="Calibri" w:hAnsi="Times New Roman" w:cs="Times New Roman"/>
          <w:noProof/>
          <w:lang w:eastAsia="lt-LT"/>
        </w:rPr>
        <w:t xml:space="preserve"> </w:t>
      </w:r>
      <w:r w:rsidRPr="00D47B1A">
        <w:rPr>
          <w:rFonts w:ascii="Times New Roman" w:eastAsia="Calibri" w:hAnsi="Times New Roman" w:cs="Times New Roman"/>
          <w:lang w:eastAsia="lt-LT"/>
        </w:rPr>
        <w:t>ūmus kvėpavimo nepakankamumas, staigus dusulys, astma ir plaučių edema. Pacientams, sergantiems ar anksčiau sirgusiems bronchine astma ar alerginėmis ligomis, medikamentas gali išprovokuoti bronchų spazmą.</w:t>
      </w:r>
    </w:p>
    <w:p w:rsidR="002075C4" w:rsidRPr="00D47B1A" w:rsidRDefault="002075C4" w:rsidP="002075C4">
      <w:pPr>
        <w:spacing w:after="0" w:line="240" w:lineRule="auto"/>
        <w:rPr>
          <w:rFonts w:ascii="Times New Roman" w:eastAsia="Calibri" w:hAnsi="Times New Roman" w:cs="Times New Roman"/>
          <w:noProof/>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Virškinimo trakto sutrikimai</w:t>
      </w:r>
      <w:r w:rsidRPr="00D47B1A">
        <w:rPr>
          <w:rFonts w:ascii="Times New Roman" w:eastAsia="Calibri" w:hAnsi="Times New Roman" w:cs="Times New Roman"/>
          <w:lang w:eastAsia="lt-LT"/>
        </w:rPr>
        <w:t>: dažniausiai stebėti nepageidaujamo poveikio požymiai susiję su virškinimo traktu. Gali būti opa, virškinimo trakto perforacija ar kraujavimas iš jo (kartais nulėmęs mirtį, ypač senyviems pacientams) (žr. 4.4 skyrių);</w:t>
      </w:r>
    </w:p>
    <w:p w:rsidR="002075C4" w:rsidRPr="00D47B1A" w:rsidRDefault="002075C4" w:rsidP="002075C4">
      <w:pPr>
        <w:spacing w:after="0" w:line="240" w:lineRule="auto"/>
        <w:rPr>
          <w:rFonts w:ascii="Times New Roman" w:eastAsia="Calibri" w:hAnsi="Times New Roman" w:cs="Times New Roman"/>
          <w:noProof/>
          <w:lang w:eastAsia="lt-LT"/>
        </w:rPr>
      </w:pPr>
      <w:r w:rsidRPr="00D47B1A">
        <w:rPr>
          <w:rFonts w:ascii="Times New Roman" w:eastAsia="Calibri" w:hAnsi="Times New Roman" w:cs="Times New Roman"/>
          <w:lang w:eastAsia="lt-LT"/>
        </w:rPr>
        <w:t>Pykinimas, vėmimas, vidurių užkietėjimas, viduriavimas, dujų susikaupimas, dispepsija, skausmas pilve, tamsios išmatos su krauju, vėmimas su krauju, opinis stomatitas, opinio kolito ir Krono ligos paūmėjimas (žr. 4.4 skyrių). Rečiau pasitaiko gastritas.</w:t>
      </w:r>
    </w:p>
    <w:p w:rsidR="002075C4" w:rsidRPr="00D47B1A" w:rsidRDefault="002075C4" w:rsidP="002075C4">
      <w:pPr>
        <w:spacing w:after="0" w:line="240" w:lineRule="auto"/>
        <w:rPr>
          <w:rFonts w:ascii="Times New Roman" w:eastAsia="Calibri" w:hAnsi="Times New Roman" w:cs="Times New Roman"/>
          <w:lang w:val="fi-FI" w:eastAsia="lt-LT"/>
        </w:rPr>
      </w:pPr>
    </w:p>
    <w:p w:rsidR="002075C4" w:rsidRDefault="002075C4" w:rsidP="002075C4">
      <w:pPr>
        <w:autoSpaceDE w:val="0"/>
        <w:autoSpaceDN w:val="0"/>
        <w:adjustRightInd w:val="0"/>
        <w:spacing w:after="0" w:line="240" w:lineRule="auto"/>
        <w:rPr>
          <w:rFonts w:ascii="Times New Roman" w:eastAsia="Calibri" w:hAnsi="Times New Roman" w:cs="Times New Roman"/>
          <w:color w:val="000000"/>
          <w:lang w:eastAsia="lt-LT"/>
        </w:rPr>
      </w:pPr>
      <w:r w:rsidRPr="00D47B1A">
        <w:rPr>
          <w:rFonts w:ascii="Times New Roman" w:eastAsia="Calibri" w:hAnsi="Times New Roman" w:cs="Times New Roman"/>
          <w:noProof/>
          <w:u w:val="single"/>
          <w:lang w:eastAsia="lt-LT"/>
        </w:rPr>
        <w:t>Inkstų ir šlapimo takų sutrikimai:</w:t>
      </w:r>
      <w:r w:rsidRPr="00D47B1A">
        <w:rPr>
          <w:rFonts w:ascii="Times New Roman" w:eastAsia="Calibri" w:hAnsi="Times New Roman" w:cs="Times New Roman"/>
          <w:noProof/>
          <w:lang w:eastAsia="lt-LT"/>
        </w:rPr>
        <w:t xml:space="preserve"> </w:t>
      </w:r>
      <w:r w:rsidRPr="00D47B1A">
        <w:rPr>
          <w:rFonts w:ascii="Times New Roman" w:eastAsia="Calibri" w:hAnsi="Times New Roman" w:cs="Times New Roman"/>
          <w:lang w:eastAsia="lt-LT"/>
        </w:rPr>
        <w:t>hematurija, proteinurija, padidėjusi šlapalo, kreatinino koncentracija kraujyje, intersticinis nefritas, nefrozinis sindromas ir inkstų nepakankamumas.</w:t>
      </w:r>
    </w:p>
    <w:p w:rsidR="002075C4" w:rsidRPr="00D47B1A" w:rsidRDefault="002075C4" w:rsidP="002075C4">
      <w:pPr>
        <w:spacing w:after="0" w:line="240" w:lineRule="auto"/>
        <w:ind w:right="10"/>
        <w:outlineLvl w:val="0"/>
        <w:rPr>
          <w:rFonts w:ascii="Times New Roman Bold" w:eastAsia="Calibri" w:hAnsi="Times New Roman Bold" w:cs="Times New Roman"/>
          <w:b/>
          <w:sz w:val="28"/>
          <w:szCs w:val="20"/>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Odos ir poodinio audinio sutrikimai:</w:t>
      </w:r>
      <w:r w:rsidRPr="00D47B1A">
        <w:rPr>
          <w:rFonts w:ascii="Times New Roman" w:eastAsia="Calibri" w:hAnsi="Times New Roman" w:cs="Times New Roman"/>
          <w:lang w:eastAsia="lt-LT"/>
        </w:rPr>
        <w:t xml:space="preserve"> niežulys, dilgėlinė, angioneurotinė edema, angitas, mazginė eritema, bėrimas, sunkios odos alerginės reakcijos, tokios kaip: Stevens Johnson‘o sindromas, eksfoliacinis dermatitas, toksinė epidermio nekrolizė (labai retai), daugiaformė eritema, plaukų slinkimas, prakaitavimas.</w:t>
      </w:r>
    </w:p>
    <w:p w:rsidR="002075C4" w:rsidRPr="00D47B1A" w:rsidRDefault="002075C4" w:rsidP="002075C4">
      <w:pPr>
        <w:spacing w:after="0" w:line="240" w:lineRule="auto"/>
        <w:ind w:right="10"/>
        <w:outlineLvl w:val="0"/>
        <w:rPr>
          <w:rFonts w:ascii="Times New Roman Bold" w:eastAsia="Calibri" w:hAnsi="Times New Roman Bold" w:cs="Times New Roman"/>
          <w:b/>
          <w:sz w:val="28"/>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u w:val="single"/>
          <w:lang w:eastAsia="lt-LT"/>
        </w:rPr>
        <w:t>Metabilizmo ir mitybos sutrikimai</w:t>
      </w:r>
      <w:r w:rsidRPr="00D47B1A">
        <w:rPr>
          <w:rFonts w:ascii="Times New Roman" w:eastAsia="Calibri" w:hAnsi="Times New Roman" w:cs="Times New Roman"/>
          <w:szCs w:val="20"/>
          <w:lang w:eastAsia="lt-LT"/>
        </w:rPr>
        <w:t>: hiperglikemija, gliukozurija, hiperkalemija.</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u w:val="single"/>
          <w:lang w:eastAsia="lt-LT"/>
        </w:rPr>
        <w:t>Kraujagyslių sutrikimai</w:t>
      </w:r>
      <w:r w:rsidRPr="00D47B1A">
        <w:rPr>
          <w:rFonts w:ascii="Times New Roman" w:eastAsia="Calibri" w:hAnsi="Times New Roman" w:cs="Times New Roman"/>
          <w:szCs w:val="20"/>
          <w:lang w:eastAsia="lt-LT"/>
        </w:rPr>
        <w:t>: raudonis, padidėjęs ar žemas kraujosūdis.</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u w:val="single"/>
          <w:lang w:eastAsia="lt-LT"/>
        </w:rPr>
        <w:t>Imuninės sistemos sutrikimai:</w:t>
      </w:r>
      <w:r w:rsidRPr="00D47B1A">
        <w:rPr>
          <w:rFonts w:ascii="Times New Roman" w:eastAsia="Calibri" w:hAnsi="Times New Roman" w:cs="Times New Roman"/>
          <w:szCs w:val="20"/>
          <w:lang w:eastAsia="lt-LT"/>
        </w:rPr>
        <w:t xml:space="preserve"> alerginės reakcijos, anafilaksinis šokas.</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u w:val="single"/>
          <w:lang w:eastAsia="lt-LT"/>
        </w:rPr>
        <w:t>Kepenų, tulžies pūslės ir latakų sutrikimai:</w:t>
      </w:r>
      <w:r w:rsidRPr="00D47B1A">
        <w:rPr>
          <w:rFonts w:ascii="Times New Roman" w:eastAsia="Calibri" w:hAnsi="Times New Roman" w:cs="Times New Roman"/>
          <w:szCs w:val="20"/>
          <w:lang w:eastAsia="lt-LT"/>
        </w:rPr>
        <w:t xml:space="preserve"> dažnai kraujyje gali padidėti kepenų fermentų kiekis (serumo transaminazės). Retai gali būti kepenų pažeidimų (hepatitas su gelta arba be jos, labai retai eiga gali būti žaibinė, netgi be jokių pradinių požymių). Dėl to dažnai reikia tirti kepenų funkciją.</w:t>
      </w:r>
    </w:p>
    <w:p w:rsidR="002075C4" w:rsidRPr="00D47B1A" w:rsidRDefault="002075C4" w:rsidP="002075C4">
      <w:pPr>
        <w:spacing w:after="0" w:line="240" w:lineRule="auto"/>
        <w:rPr>
          <w:rFonts w:ascii="Times New Roman" w:eastAsia="Calibri" w:hAnsi="Times New Roman" w:cs="Times New Roman"/>
          <w:noProof/>
          <w:u w:val="single"/>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noProof/>
          <w:u w:val="single"/>
          <w:lang w:eastAsia="lt-LT"/>
        </w:rPr>
        <w:t>Lytinės sistemos ir krūties sutrikimai</w:t>
      </w:r>
      <w:r w:rsidRPr="00D47B1A">
        <w:rPr>
          <w:rFonts w:ascii="Times New Roman" w:eastAsia="Calibri" w:hAnsi="Times New Roman" w:cs="Times New Roman"/>
          <w:noProof/>
          <w:color w:val="000000"/>
          <w:u w:val="single"/>
          <w:lang w:val="da-DK" w:eastAsia="lt-LT"/>
        </w:rPr>
        <w:t>:</w:t>
      </w:r>
      <w:r w:rsidRPr="00D47B1A">
        <w:rPr>
          <w:rFonts w:ascii="Times New Roman" w:eastAsia="Calibri" w:hAnsi="Times New Roman" w:cs="Times New Roman"/>
          <w:noProof/>
          <w:color w:val="000000"/>
          <w:lang w:val="da-DK" w:eastAsia="lt-LT"/>
        </w:rPr>
        <w:t xml:space="preserve"> </w:t>
      </w:r>
      <w:r w:rsidRPr="00D47B1A">
        <w:rPr>
          <w:rFonts w:ascii="Times New Roman" w:eastAsia="Calibri" w:hAnsi="Times New Roman" w:cs="Times New Roman"/>
          <w:lang w:eastAsia="lt-LT"/>
        </w:rPr>
        <w:t>kraujavimas iš makšties, krūtų pakitimai (padidėjimas, jautrumas, ginekomastija. Vartojant Metindol gali tapti sunkiau pastoti. Jei jūs planuojate pastoti arba jums sunku pastoti būtina nedelsiant pasitarti su gydytoju.</w:t>
      </w:r>
    </w:p>
    <w:p w:rsidR="002075C4" w:rsidRPr="00D47B1A" w:rsidRDefault="002075C4" w:rsidP="002075C4">
      <w:pPr>
        <w:spacing w:after="0" w:line="240" w:lineRule="auto"/>
        <w:rPr>
          <w:rFonts w:ascii="Times New Roman" w:eastAsia="Calibri" w:hAnsi="Times New Roman" w:cs="Times New Roman"/>
          <w:b/>
          <w:lang w:eastAsia="lt-LT"/>
        </w:rPr>
      </w:pPr>
    </w:p>
    <w:p w:rsidR="002075C4" w:rsidRPr="00D47B1A" w:rsidRDefault="002075C4" w:rsidP="002075C4">
      <w:pPr>
        <w:spacing w:after="60" w:line="260" w:lineRule="exact"/>
        <w:rPr>
          <w:rFonts w:ascii="Times New Roman" w:eastAsia="Times New Roman" w:hAnsi="Times New Roman" w:cs="Times New Roman"/>
          <w:b/>
          <w:szCs w:val="20"/>
          <w:u w:val="single"/>
          <w:lang w:eastAsia="lt-LT"/>
        </w:rPr>
      </w:pPr>
      <w:r w:rsidRPr="00D47B1A">
        <w:rPr>
          <w:rFonts w:ascii="Times New Roman" w:eastAsia="Times New Roman" w:hAnsi="Times New Roman" w:cs="Times New Roman"/>
          <w:b/>
          <w:szCs w:val="20"/>
          <w:u w:val="single"/>
          <w:lang w:eastAsia="lt-LT"/>
        </w:rPr>
        <w:t>Pranešimas apie šalutinį poveikį</w:t>
      </w:r>
    </w:p>
    <w:p w:rsidR="002075C4" w:rsidRPr="00D47B1A" w:rsidRDefault="002075C4" w:rsidP="002075C4">
      <w:pPr>
        <w:spacing w:after="0" w:line="240" w:lineRule="auto"/>
        <w:ind w:right="-449"/>
        <w:rPr>
          <w:rFonts w:ascii="Times New Roman" w:eastAsia="Calibri" w:hAnsi="Times New Roman" w:cs="Times New Roman"/>
          <w:noProof/>
          <w:szCs w:val="24"/>
          <w:lang w:eastAsia="lt-LT"/>
        </w:rPr>
      </w:pPr>
      <w:r w:rsidRPr="00D47B1A">
        <w:rPr>
          <w:rFonts w:ascii="Times New Roman" w:eastAsia="Calibri" w:hAnsi="Times New Roman" w:cs="Times New Roman"/>
          <w:noProof/>
          <w:szCs w:val="24"/>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D47B1A">
          <w:rPr>
            <w:rFonts w:ascii="Times New Roman" w:eastAsia="SimSun" w:hAnsi="Times New Roman" w:cs="Times New Roman"/>
            <w:noProof/>
            <w:color w:val="0000FF"/>
            <w:szCs w:val="24"/>
            <w:u w:val="single"/>
            <w:lang w:eastAsia="lt-LT"/>
          </w:rPr>
          <w:t>www.vvkt.lt</w:t>
        </w:r>
      </w:hyperlink>
      <w:r w:rsidRPr="00D47B1A">
        <w:rPr>
          <w:rFonts w:ascii="Times New Roman" w:eastAsia="Calibri" w:hAnsi="Times New Roman" w:cs="Times New Roman"/>
          <w:noProof/>
          <w:szCs w:val="24"/>
          <w:lang w:eastAsia="lt-LT"/>
        </w:rPr>
        <w:t xml:space="preserve"> esančią formą ir pateikti ją Valstybinei vaistų kontrolės tarnybai prie Lietuvos Respublikos sveikatos apsaugos ministerijos vienu iš šių būdų: raštu (adresu  Žirmūnų g. 139A, LT- 09120 Vilnius),   nemokamu fakso numeriu 8 800 20 131, el. paštu </w:t>
      </w:r>
      <w:hyperlink r:id="rId6" w:history="1">
        <w:r w:rsidRPr="00D47B1A">
          <w:rPr>
            <w:rFonts w:ascii="Times New Roman" w:eastAsia="SimSun" w:hAnsi="Times New Roman" w:cs="Times New Roman"/>
            <w:noProof/>
            <w:color w:val="0000FF"/>
            <w:szCs w:val="24"/>
            <w:u w:val="single"/>
            <w:lang w:eastAsia="lt-LT"/>
          </w:rPr>
          <w:t>NepageidaujamaR@vvkt.lt</w:t>
        </w:r>
      </w:hyperlink>
      <w:r w:rsidRPr="00D47B1A">
        <w:rPr>
          <w:rFonts w:ascii="Times New Roman" w:eastAsia="Calibri" w:hAnsi="Times New Roman" w:cs="Times New Roman"/>
          <w:noProof/>
          <w:szCs w:val="24"/>
          <w:lang w:eastAsia="lt-LT"/>
        </w:rPr>
        <w:t xml:space="preserve">, taip pat per Valstybinės vaistų kontrolės tarnybos prie Lietuvos Respublikos sveikatos apsaugos ministerijos interneto svetainę (adresu </w:t>
      </w:r>
      <w:hyperlink r:id="rId7" w:history="1">
        <w:r w:rsidRPr="00D47B1A">
          <w:rPr>
            <w:rFonts w:ascii="Times New Roman" w:eastAsia="Calibri" w:hAnsi="Times New Roman" w:cs="Times New Roman"/>
            <w:noProof/>
            <w:color w:val="0000FF"/>
            <w:szCs w:val="24"/>
            <w:u w:val="single"/>
            <w:lang w:eastAsia="lt-LT"/>
          </w:rPr>
          <w:t>http://www.vvkt.lt</w:t>
        </w:r>
      </w:hyperlink>
      <w:r w:rsidRPr="00D47B1A">
        <w:rPr>
          <w:rFonts w:ascii="Times New Roman" w:eastAsia="Calibri" w:hAnsi="Times New Roman" w:cs="Times New Roman"/>
          <w:noProof/>
          <w:szCs w:val="24"/>
          <w:lang w:eastAsia="lt-LT"/>
        </w:rPr>
        <w:t xml:space="preserve"> ). Pranešdami apie šalutinį poveikį galite mums padėti gauti daugiau informacijos apie šio vaisto saugumą.</w:t>
      </w:r>
    </w:p>
    <w:p w:rsidR="002075C4" w:rsidRPr="00D47B1A" w:rsidRDefault="002075C4" w:rsidP="002075C4">
      <w:pPr>
        <w:spacing w:after="0" w:line="240" w:lineRule="auto"/>
        <w:rPr>
          <w:rFonts w:ascii="Times New Roman" w:eastAsia="Calibri" w:hAnsi="Times New Roman" w:cs="Times New Roman"/>
          <w:lang w:eastAsia="lt-LT"/>
        </w:rPr>
      </w:pPr>
    </w:p>
    <w:p w:rsidR="002075C4" w:rsidRDefault="002075C4" w:rsidP="002075C4">
      <w:pPr>
        <w:keepNext/>
        <w:spacing w:after="0" w:line="240" w:lineRule="auto"/>
        <w:outlineLvl w:val="1"/>
        <w:rPr>
          <w:rFonts w:ascii="Times New Roman" w:eastAsia="Calibri" w:hAnsi="Times New Roman" w:cs="Times New Roman"/>
          <w:b/>
          <w:bCs/>
          <w:lang w:eastAsia="lt-LT"/>
        </w:rPr>
      </w:pPr>
      <w:r w:rsidRPr="00D47B1A">
        <w:rPr>
          <w:rFonts w:ascii="Times New Roman" w:eastAsia="Calibri" w:hAnsi="Times New Roman" w:cs="Times New Roman"/>
          <w:b/>
          <w:bCs/>
          <w:lang w:eastAsia="lt-LT"/>
        </w:rPr>
        <w:t>5.</w:t>
      </w:r>
      <w:r w:rsidRPr="00D47B1A">
        <w:rPr>
          <w:rFonts w:ascii="Times New Roman" w:eastAsia="Calibri" w:hAnsi="Times New Roman" w:cs="Times New Roman"/>
          <w:b/>
          <w:bCs/>
          <w:lang w:eastAsia="lt-LT"/>
        </w:rPr>
        <w:tab/>
        <w:t>Kaip laikyti Metindol</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Šį vaistą laikykite vaikams nepastebimoje ir nepasiekiamoje vietoje.</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 xml:space="preserve">Laikyti ne aukštesnėje kaip 25 </w:t>
      </w:r>
      <w:r w:rsidRPr="00D47B1A">
        <w:rPr>
          <w:rFonts w:ascii="Times New Roman" w:eastAsia="Calibri" w:hAnsi="Times New Roman" w:cs="Times New Roman"/>
          <w:lang w:eastAsia="lt-LT"/>
        </w:rPr>
        <w:sym w:font="Symbol" w:char="F0B0"/>
      </w:r>
      <w:r w:rsidRPr="00D47B1A">
        <w:rPr>
          <w:rFonts w:ascii="Times New Roman" w:eastAsia="Calibri" w:hAnsi="Times New Roman" w:cs="Times New Roman"/>
          <w:lang w:eastAsia="lt-LT"/>
        </w:rPr>
        <w:t>C temperatūroje.</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Laikyti gamintojo pakuotėje.</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Ant dėžutės ir lizdinės plokštelės po „Tinka iki“ nurodytam tinkamumo laikui pasibaigus, šio vaisto vartoti negalima. Vaistas tinkamas vartoti iki paskutinės nurodyto mėnesio dienos.</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keepNext/>
        <w:spacing w:after="0" w:line="240" w:lineRule="auto"/>
        <w:outlineLvl w:val="1"/>
        <w:rPr>
          <w:rFonts w:ascii="Times New Roman" w:eastAsia="Calibri" w:hAnsi="Times New Roman" w:cs="Times New Roman"/>
          <w:b/>
          <w:bCs/>
          <w:lang w:eastAsia="lt-LT"/>
        </w:rPr>
      </w:pPr>
      <w:r w:rsidRPr="00D47B1A">
        <w:rPr>
          <w:rFonts w:ascii="Times New Roman" w:eastAsia="Calibri" w:hAnsi="Times New Roman" w:cs="Times New Roman"/>
          <w:b/>
          <w:bCs/>
          <w:lang w:eastAsia="lt-LT"/>
        </w:rPr>
        <w:t>6.</w:t>
      </w:r>
      <w:r w:rsidRPr="00D47B1A">
        <w:rPr>
          <w:rFonts w:ascii="Times New Roman" w:eastAsia="Calibri" w:hAnsi="Times New Roman" w:cs="Times New Roman"/>
          <w:b/>
          <w:bCs/>
          <w:lang w:eastAsia="lt-LT"/>
        </w:rPr>
        <w:tab/>
        <w:t>Pakuotės turinys ir kita informacija</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b/>
          <w:szCs w:val="20"/>
          <w:lang w:eastAsia="lt-LT"/>
        </w:rPr>
        <w:t>Metindol sudėtis</w:t>
      </w:r>
    </w:p>
    <w:p w:rsidR="002075C4" w:rsidRPr="00D47B1A" w:rsidRDefault="002075C4" w:rsidP="002075C4">
      <w:pPr>
        <w:numPr>
          <w:ilvl w:val="0"/>
          <w:numId w:val="1"/>
        </w:numPr>
        <w:spacing w:after="0" w:line="240" w:lineRule="auto"/>
        <w:contextualSpacing/>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Veiklioji medžiaga yra indometacinas.</w:t>
      </w:r>
    </w:p>
    <w:p w:rsidR="002075C4" w:rsidRPr="00D47B1A" w:rsidRDefault="002075C4" w:rsidP="002075C4">
      <w:pPr>
        <w:numPr>
          <w:ilvl w:val="0"/>
          <w:numId w:val="1"/>
        </w:numPr>
        <w:spacing w:after="0" w:line="240" w:lineRule="auto"/>
        <w:contextualSpacing/>
        <w:rPr>
          <w:rFonts w:ascii="Times New Roman" w:eastAsia="Calibri" w:hAnsi="Times New Roman" w:cs="Times New Roman"/>
          <w:lang w:eastAsia="lt-LT"/>
        </w:rPr>
      </w:pPr>
      <w:r w:rsidRPr="00D47B1A">
        <w:rPr>
          <w:rFonts w:ascii="Times New Roman" w:eastAsia="Calibri" w:hAnsi="Times New Roman" w:cs="Times New Roman"/>
          <w:szCs w:val="20"/>
          <w:lang w:eastAsia="lt-LT"/>
        </w:rPr>
        <w:t>Pagalbinės medžiagos yra</w:t>
      </w:r>
      <w:r w:rsidRPr="00D47B1A">
        <w:rPr>
          <w:rFonts w:ascii="Times New Roman" w:eastAsia="Calibri" w:hAnsi="Times New Roman" w:cs="Times New Roman"/>
          <w:lang w:eastAsia="lt-LT"/>
        </w:rPr>
        <w:t xml:space="preserve">  bulvių krakmolas, mikrokristalinė celiuliozė,  amonio metakrilato kopolimeras (Eudragitas RSPO), talkas, magnio stearatas.</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b/>
          <w:szCs w:val="20"/>
          <w:lang w:eastAsia="lt-LT"/>
        </w:rPr>
        <w:t>Metindol išvaizda ir kiekis pakuotėje</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Pailginto atpalaidavimo tabletės yra apvalios formos, baltos spalvos su kreminiu atspalviu, plokščiu paviršiumi, nuožulniais kraštais.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Lizdinė plokštelė, kurioje yra 25 pailginto atpalaidavimo tabletės. Viena arba dvi lizdinės plokštelės (25 arba 50 pailginto atpalaidavimo tablečių) ir pakuotės lapelis įdėti į kartoninę dėžutę.</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Gali būti tiekiamos ne visų dydžių pakuotės.</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Default="002075C4" w:rsidP="002075C4">
      <w:pPr>
        <w:spacing w:after="0" w:line="240" w:lineRule="auto"/>
        <w:rPr>
          <w:rFonts w:ascii="Times New Roman" w:eastAsia="Calibri" w:hAnsi="Times New Roman" w:cs="Times New Roman"/>
          <w:b/>
          <w:szCs w:val="20"/>
          <w:lang w:eastAsia="lt-LT"/>
        </w:rPr>
      </w:pPr>
      <w:r w:rsidRPr="00D47B1A">
        <w:rPr>
          <w:rFonts w:ascii="Times New Roman" w:eastAsia="Calibri" w:hAnsi="Times New Roman" w:cs="Times New Roman"/>
          <w:b/>
          <w:szCs w:val="20"/>
          <w:lang w:eastAsia="lt-LT"/>
        </w:rPr>
        <w:t>Registruotojas</w:t>
      </w: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SIA Meda Pharma</w:t>
      </w:r>
    </w:p>
    <w:p w:rsidR="002075C4" w:rsidRPr="007D7CB9" w:rsidRDefault="002075C4" w:rsidP="002075C4">
      <w:pPr>
        <w:spacing w:after="0" w:line="240" w:lineRule="auto"/>
        <w:rPr>
          <w:rFonts w:ascii="Times New Roman" w:eastAsia="Calibri" w:hAnsi="Times New Roman" w:cs="Times New Roman"/>
          <w:lang w:eastAsia="lt-LT"/>
        </w:rPr>
      </w:pPr>
      <w:r w:rsidRPr="007D7CB9">
        <w:rPr>
          <w:rFonts w:ascii="Times New Roman" w:eastAsia="Calibri" w:hAnsi="Times New Roman" w:cs="Times New Roman"/>
          <w:lang w:eastAsia="lt-LT"/>
        </w:rPr>
        <w:t>Mūkusalas 101</w:t>
      </w:r>
    </w:p>
    <w:p w:rsidR="002075C4" w:rsidRDefault="002075C4" w:rsidP="002075C4">
      <w:pPr>
        <w:spacing w:after="0" w:line="240" w:lineRule="auto"/>
        <w:rPr>
          <w:rFonts w:ascii="Times New Roman" w:eastAsia="Calibri" w:hAnsi="Times New Roman" w:cs="Times New Roman"/>
          <w:lang w:eastAsia="lt-LT"/>
        </w:rPr>
      </w:pPr>
      <w:r w:rsidRPr="007D7CB9">
        <w:rPr>
          <w:rFonts w:ascii="Times New Roman" w:eastAsia="Calibri" w:hAnsi="Times New Roman" w:cs="Times New Roman"/>
          <w:lang w:eastAsia="lt-LT"/>
        </w:rPr>
        <w:t>Rīga LV-1004</w:t>
      </w:r>
    </w:p>
    <w:p w:rsidR="002075C4"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Latvija</w:t>
      </w:r>
    </w:p>
    <w:p w:rsidR="002075C4" w:rsidRPr="00D47B1A" w:rsidRDefault="002075C4" w:rsidP="002075C4">
      <w:pPr>
        <w:spacing w:after="0" w:line="240" w:lineRule="auto"/>
        <w:rPr>
          <w:rFonts w:ascii="Times New Roman" w:eastAsia="Calibri" w:hAnsi="Times New Roman" w:cs="Times New Roman"/>
          <w:szCs w:val="20"/>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b/>
          <w:szCs w:val="20"/>
          <w:lang w:eastAsia="lt-LT"/>
        </w:rPr>
        <w:t>Gamintojas</w:t>
      </w:r>
    </w:p>
    <w:p w:rsidR="002075C4" w:rsidRPr="00D47B1A" w:rsidRDefault="002075C4" w:rsidP="002075C4">
      <w:pPr>
        <w:spacing w:after="0" w:line="240" w:lineRule="auto"/>
        <w:jc w:val="both"/>
        <w:rPr>
          <w:rFonts w:ascii="Times New Roman" w:eastAsia="Calibri" w:hAnsi="Times New Roman" w:cs="Times New Roman"/>
          <w:lang w:eastAsia="lt-LT"/>
        </w:rPr>
      </w:pPr>
      <w:r w:rsidRPr="00D47B1A">
        <w:rPr>
          <w:rFonts w:ascii="Times New Roman" w:eastAsia="Calibri" w:hAnsi="Times New Roman" w:cs="Times New Roman"/>
          <w:lang w:eastAsia="lt-LT"/>
        </w:rPr>
        <w:t>ICN Polfa Rzeszów S.A.</w:t>
      </w:r>
    </w:p>
    <w:p w:rsidR="002075C4" w:rsidRPr="00D47B1A" w:rsidRDefault="002075C4" w:rsidP="002075C4">
      <w:pPr>
        <w:spacing w:after="0" w:line="240" w:lineRule="auto"/>
        <w:jc w:val="both"/>
        <w:rPr>
          <w:rFonts w:ascii="Times New Roman" w:eastAsia="Calibri" w:hAnsi="Times New Roman" w:cs="Times New Roman"/>
          <w:lang w:eastAsia="lt-LT"/>
        </w:rPr>
      </w:pPr>
      <w:r w:rsidRPr="00D47B1A">
        <w:rPr>
          <w:rFonts w:ascii="Times New Roman" w:eastAsia="Calibri" w:hAnsi="Times New Roman" w:cs="Times New Roman"/>
          <w:lang w:eastAsia="lt-LT"/>
        </w:rPr>
        <w:t>35-959 Rzeszów</w:t>
      </w:r>
    </w:p>
    <w:p w:rsidR="002075C4" w:rsidRPr="00D47B1A" w:rsidRDefault="002075C4" w:rsidP="002075C4">
      <w:pPr>
        <w:spacing w:after="0" w:line="240" w:lineRule="auto"/>
        <w:jc w:val="both"/>
        <w:rPr>
          <w:rFonts w:ascii="Times New Roman" w:eastAsia="Calibri" w:hAnsi="Times New Roman" w:cs="Times New Roman"/>
          <w:lang w:eastAsia="lt-LT"/>
        </w:rPr>
      </w:pPr>
      <w:r w:rsidRPr="00D47B1A">
        <w:rPr>
          <w:rFonts w:ascii="Times New Roman" w:eastAsia="Calibri" w:hAnsi="Times New Roman" w:cs="Times New Roman"/>
          <w:lang w:eastAsia="lt-LT"/>
        </w:rPr>
        <w:t>ul. Przemysłowa 2</w:t>
      </w:r>
    </w:p>
    <w:p w:rsidR="002075C4" w:rsidRPr="00D47B1A" w:rsidRDefault="002075C4" w:rsidP="002075C4">
      <w:pPr>
        <w:spacing w:after="0" w:line="240" w:lineRule="auto"/>
        <w:jc w:val="both"/>
        <w:rPr>
          <w:rFonts w:ascii="Times New Roman" w:eastAsia="Calibri" w:hAnsi="Times New Roman" w:cs="Times New Roman"/>
          <w:lang w:eastAsia="lt-LT"/>
        </w:rPr>
      </w:pPr>
      <w:r w:rsidRPr="00D47B1A">
        <w:rPr>
          <w:rFonts w:ascii="Times New Roman" w:eastAsia="Calibri" w:hAnsi="Times New Roman" w:cs="Times New Roman"/>
          <w:lang w:eastAsia="lt-LT"/>
        </w:rPr>
        <w:t>Lenkija</w:t>
      </w:r>
    </w:p>
    <w:p w:rsidR="002075C4" w:rsidRPr="00D47B1A" w:rsidRDefault="002075C4" w:rsidP="002075C4">
      <w:pPr>
        <w:spacing w:after="0" w:line="240" w:lineRule="auto"/>
        <w:rPr>
          <w:rFonts w:ascii="Times New Roman" w:eastAsia="Calibri" w:hAnsi="Times New Roman" w:cs="Times New Roman"/>
          <w:b/>
          <w:lang w:eastAsia="lt-LT"/>
        </w:rPr>
      </w:pPr>
    </w:p>
    <w:p w:rsidR="002075C4" w:rsidRPr="00D47B1A" w:rsidRDefault="002075C4" w:rsidP="002075C4">
      <w:pPr>
        <w:spacing w:after="0" w:line="240" w:lineRule="auto"/>
        <w:rPr>
          <w:rFonts w:ascii="Times New Roman" w:eastAsia="Calibri" w:hAnsi="Times New Roman" w:cs="Times New Roman"/>
          <w:lang w:eastAsia="lt-LT"/>
        </w:rPr>
      </w:pPr>
      <w:r w:rsidRPr="00D47B1A">
        <w:rPr>
          <w:rFonts w:ascii="Times New Roman" w:eastAsia="Calibri" w:hAnsi="Times New Roman" w:cs="Times New Roman"/>
          <w:lang w:eastAsia="lt-LT"/>
        </w:rPr>
        <w:t>Jeigu apie šį vaistą norite sužinoti daugiau, kreipkitės į vietinį registruotojo atstovą.</w:t>
      </w: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SIA Meda Pharma</w:t>
      </w:r>
    </w:p>
    <w:p w:rsidR="002075C4" w:rsidRPr="00D47B1A" w:rsidRDefault="002075C4" w:rsidP="002075C4">
      <w:pPr>
        <w:spacing w:after="0" w:line="240" w:lineRule="auto"/>
        <w:rPr>
          <w:rFonts w:ascii="Times New Roman" w:eastAsia="Calibri" w:hAnsi="Times New Roman" w:cs="Times New Roman"/>
          <w:szCs w:val="20"/>
          <w:lang w:eastAsia="lt-LT"/>
        </w:rPr>
      </w:pPr>
      <w:r>
        <w:rPr>
          <w:rFonts w:ascii="Times New Roman" w:eastAsia="Calibri" w:hAnsi="Times New Roman" w:cs="Times New Roman"/>
          <w:szCs w:val="20"/>
          <w:lang w:eastAsia="lt-LT"/>
        </w:rPr>
        <w:t>Žalgirio 90-100,</w:t>
      </w: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LT-</w:t>
      </w:r>
      <w:r w:rsidRPr="00BF15A1">
        <w:t xml:space="preserve"> </w:t>
      </w:r>
      <w:r w:rsidRPr="00BF15A1">
        <w:rPr>
          <w:rFonts w:ascii="Times New Roman" w:eastAsia="Calibri" w:hAnsi="Times New Roman" w:cs="Times New Roman"/>
          <w:szCs w:val="20"/>
          <w:lang w:eastAsia="lt-LT"/>
        </w:rPr>
        <w:t>09303</w:t>
      </w:r>
      <w:r w:rsidRPr="00D47B1A">
        <w:rPr>
          <w:rFonts w:ascii="Times New Roman" w:eastAsia="Calibri" w:hAnsi="Times New Roman" w:cs="Times New Roman"/>
          <w:szCs w:val="20"/>
          <w:lang w:eastAsia="lt-LT"/>
        </w:rPr>
        <w:t xml:space="preserve"> Vilnius</w:t>
      </w: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 xml:space="preserve">Tel.: +370 </w:t>
      </w:r>
      <w:r w:rsidRPr="00B4509E">
        <w:rPr>
          <w:rFonts w:ascii="Times New Roman" w:eastAsia="Calibri" w:hAnsi="Times New Roman" w:cs="Times New Roman"/>
          <w:szCs w:val="20"/>
          <w:lang w:eastAsia="lt-LT"/>
        </w:rPr>
        <w:t>5 205 12 88</w:t>
      </w:r>
    </w:p>
    <w:p w:rsidR="002075C4" w:rsidRPr="00D47B1A" w:rsidRDefault="002075C4" w:rsidP="002075C4">
      <w:pPr>
        <w:spacing w:after="0" w:line="240" w:lineRule="auto"/>
        <w:rPr>
          <w:rFonts w:ascii="Times New Roman" w:eastAsia="Calibri" w:hAnsi="Times New Roman" w:cs="Times New Roman"/>
          <w:szCs w:val="20"/>
          <w:lang w:eastAsia="lt-LT"/>
        </w:rPr>
      </w:pPr>
      <w:r w:rsidRPr="00D47B1A">
        <w:rPr>
          <w:rFonts w:ascii="Times New Roman" w:eastAsia="Calibri" w:hAnsi="Times New Roman" w:cs="Times New Roman"/>
          <w:szCs w:val="20"/>
          <w:lang w:eastAsia="lt-LT"/>
        </w:rPr>
        <w:t>El. paštas:</w:t>
      </w:r>
      <w:r>
        <w:rPr>
          <w:rFonts w:ascii="Times New Roman" w:eastAsia="Calibri" w:hAnsi="Times New Roman" w:cs="Times New Roman"/>
          <w:szCs w:val="20"/>
          <w:lang w:eastAsia="lt-LT"/>
        </w:rPr>
        <w:t xml:space="preserve"> </w:t>
      </w:r>
      <w:r w:rsidRPr="00B4509E">
        <w:rPr>
          <w:rFonts w:ascii="Times New Roman" w:eastAsia="Calibri" w:hAnsi="Times New Roman" w:cs="Times New Roman"/>
          <w:szCs w:val="20"/>
          <w:lang w:eastAsia="lt-LT"/>
        </w:rPr>
        <w:t>info.lt@viatris.com</w:t>
      </w:r>
    </w:p>
    <w:p w:rsidR="002075C4" w:rsidRPr="00D47B1A" w:rsidRDefault="002075C4" w:rsidP="002075C4">
      <w:pPr>
        <w:spacing w:after="0" w:line="240" w:lineRule="auto"/>
        <w:rPr>
          <w:rFonts w:ascii="Times New Roman" w:eastAsia="Calibri" w:hAnsi="Times New Roman" w:cs="Times New Roman"/>
          <w:lang w:eastAsia="lt-LT"/>
        </w:rPr>
      </w:pPr>
    </w:p>
    <w:p w:rsidR="002075C4" w:rsidRDefault="002075C4" w:rsidP="002075C4">
      <w:pPr>
        <w:spacing w:after="0" w:line="240" w:lineRule="auto"/>
        <w:rPr>
          <w:rFonts w:ascii="Times New Roman" w:eastAsia="Calibri" w:hAnsi="Times New Roman" w:cs="Times New Roman"/>
          <w:b/>
          <w:lang w:eastAsia="lt-LT"/>
        </w:rPr>
      </w:pPr>
      <w:r w:rsidRPr="00D47B1A">
        <w:rPr>
          <w:rFonts w:ascii="Times New Roman" w:eastAsia="Calibri" w:hAnsi="Times New Roman" w:cs="Times New Roman"/>
          <w:b/>
          <w:lang w:eastAsia="lt-LT"/>
        </w:rPr>
        <w:t xml:space="preserve">Šis pakuotės lapelis paskutinį kartą peržiūrėtas </w:t>
      </w:r>
      <w:r>
        <w:rPr>
          <w:rFonts w:ascii="Times New Roman" w:eastAsia="Calibri" w:hAnsi="Times New Roman" w:cs="Times New Roman"/>
          <w:b/>
          <w:lang w:eastAsia="lt-LT"/>
        </w:rPr>
        <w:t>2022-02-25.</w:t>
      </w:r>
    </w:p>
    <w:p w:rsidR="002075C4"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lang w:eastAsia="lt-LT"/>
        </w:rPr>
      </w:pPr>
    </w:p>
    <w:p w:rsidR="002075C4" w:rsidRPr="00D47B1A" w:rsidRDefault="002075C4" w:rsidP="002075C4">
      <w:pPr>
        <w:spacing w:after="0" w:line="240" w:lineRule="auto"/>
        <w:rPr>
          <w:rFonts w:ascii="Times New Roman" w:eastAsia="Calibri" w:hAnsi="Times New Roman" w:cs="Times New Roman"/>
        </w:rPr>
      </w:pPr>
      <w:r w:rsidRPr="00D47B1A">
        <w:rPr>
          <w:rFonts w:ascii="Times New Roman" w:eastAsia="Calibri" w:hAnsi="Times New Roman" w:cs="Times New Roman"/>
        </w:rPr>
        <w:t xml:space="preserve">Išsami informacija apie šį vaistą pateikiama Valstybinės vaistų kontrolės tarnybos prie Lietuvos Respublikos sveikatos apsaugos ministerijos tinklalapyje </w:t>
      </w:r>
      <w:hyperlink r:id="rId8" w:history="1">
        <w:r w:rsidRPr="00D47B1A">
          <w:rPr>
            <w:rFonts w:ascii="Times New Roman" w:eastAsia="Calibri" w:hAnsi="Times New Roman" w:cs="Times New Roman"/>
            <w:color w:val="0000FF"/>
            <w:u w:val="single"/>
          </w:rPr>
          <w:t>http://www.vvkt.lt/</w:t>
        </w:r>
      </w:hyperlink>
    </w:p>
    <w:p w:rsidR="00914D7F" w:rsidRDefault="00914D7F"/>
    <w:sectPr w:rsidR="0091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4E3823" w:usb1="00770065" w:usb2="00520020" w:usb3="006D006F" w:csb0="006E0061" w:csb1="0042002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113"/>
    <w:multiLevelType w:val="hybridMultilevel"/>
    <w:tmpl w:val="50C4E05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716B7"/>
    <w:multiLevelType w:val="hybridMultilevel"/>
    <w:tmpl w:val="656C516E"/>
    <w:lvl w:ilvl="0" w:tplc="404E84A6">
      <w:start w:val="2"/>
      <w:numFmt w:val="bullet"/>
      <w:lvlText w:val="-"/>
      <w:lvlJc w:val="left"/>
      <w:pPr>
        <w:tabs>
          <w:tab w:val="num" w:pos="1440"/>
        </w:tabs>
        <w:ind w:left="1440" w:hanging="360"/>
      </w:pPr>
      <w:rPr>
        <w:rFonts w:ascii="Arial" w:eastAsia="Times New Roman" w:hAnsi="Arial" w:cs="Times New Roman" w:hint="default"/>
      </w:rPr>
    </w:lvl>
    <w:lvl w:ilvl="1" w:tplc="04270003">
      <w:start w:val="1"/>
      <w:numFmt w:val="bullet"/>
      <w:lvlText w:val="o"/>
      <w:lvlJc w:val="left"/>
      <w:pPr>
        <w:tabs>
          <w:tab w:val="num" w:pos="2160"/>
        </w:tabs>
        <w:ind w:left="2160" w:hanging="360"/>
      </w:pPr>
      <w:rPr>
        <w:rFonts w:ascii="Courier New" w:hAnsi="Courier New" w:cs="Times New Roman"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cs="Times New Roman"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cs="Times New Roman" w:hint="default"/>
      </w:rPr>
    </w:lvl>
    <w:lvl w:ilvl="8" w:tplc="0427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4"/>
    <w:rsid w:val="002075C4"/>
    <w:rsid w:val="0091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91BC-6D05-464D-ACA4-2DC52D87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2360</Words>
  <Characters>13455</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2022-03-21T14:41:00Z</dcterms:created>
  <dcterms:modified xsi:type="dcterms:W3CDTF">2022-03-21T14:41:00Z</dcterms:modified>
</cp:coreProperties>
</file>