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CA5" w:rsidRPr="00B9038C" w:rsidRDefault="00890CA5" w:rsidP="00890CA5">
      <w:pPr>
        <w:tabs>
          <w:tab w:val="left" w:pos="567"/>
        </w:tabs>
        <w:suppressAutoHyphens/>
        <w:spacing w:after="0" w:line="260" w:lineRule="exact"/>
        <w:jc w:val="center"/>
        <w:rPr>
          <w:rFonts w:ascii="Times New Roman" w:hAnsi="Times New Roman"/>
        </w:rPr>
      </w:pPr>
      <w:bookmarkStart w:id="0" w:name="_Toc129243138"/>
      <w:bookmarkStart w:id="1" w:name="_Toc129243263"/>
      <w:r w:rsidRPr="00B9038C">
        <w:rPr>
          <w:rFonts w:ascii="Times New Roman" w:hAnsi="Times New Roman"/>
          <w:b/>
        </w:rPr>
        <w:t>Pakuotės lapelis: informacija vartotojui</w:t>
      </w:r>
      <w:bookmarkEnd w:id="0"/>
      <w:bookmarkEnd w:id="1"/>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jc w:val="center"/>
        <w:rPr>
          <w:rFonts w:ascii="Times New Roman" w:eastAsia="Times New Roman" w:hAnsi="Times New Roman" w:cs="Times New Roman"/>
          <w:b/>
          <w:lang w:eastAsia="ar-SA"/>
        </w:rPr>
      </w:pPr>
      <w:r w:rsidRPr="008C008F">
        <w:rPr>
          <w:rFonts w:ascii="Times New Roman" w:eastAsia="Times New Roman" w:hAnsi="Times New Roman" w:cs="Times New Roman"/>
          <w:b/>
          <w:lang w:eastAsia="ar-SA"/>
        </w:rPr>
        <w:t>Otrivin Menthol 1 mg/ml nosies purškalas (tirpalas)</w:t>
      </w:r>
    </w:p>
    <w:p w:rsidR="00890CA5" w:rsidRPr="008C008F" w:rsidRDefault="00890CA5" w:rsidP="00890CA5">
      <w:pPr>
        <w:tabs>
          <w:tab w:val="left" w:pos="567"/>
          <w:tab w:val="center" w:pos="4536"/>
          <w:tab w:val="center" w:pos="8930"/>
        </w:tabs>
        <w:suppressAutoHyphens/>
        <w:spacing w:after="0" w:line="240" w:lineRule="auto"/>
        <w:jc w:val="center"/>
        <w:rPr>
          <w:rFonts w:ascii="Times New Roman" w:eastAsia="Times New Roman" w:hAnsi="Times New Roman" w:cs="Times New Roman"/>
          <w:iCs/>
          <w:lang w:eastAsia="ar-SA"/>
        </w:rPr>
      </w:pPr>
      <w:r w:rsidRPr="008C008F">
        <w:rPr>
          <w:rFonts w:ascii="Times New Roman" w:eastAsia="Times New Roman" w:hAnsi="Times New Roman" w:cs="Times New Roman"/>
          <w:iCs/>
          <w:lang w:eastAsia="ar-SA"/>
        </w:rPr>
        <w:t>Ksilometazolino hidrochloridas</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B9038C" w:rsidRDefault="00890CA5" w:rsidP="00890CA5">
      <w:pPr>
        <w:tabs>
          <w:tab w:val="left" w:pos="1296"/>
        </w:tabs>
        <w:spacing w:after="0" w:line="240" w:lineRule="auto"/>
        <w:rPr>
          <w:rFonts w:ascii="Times New Roman" w:hAnsi="Times New Roman"/>
        </w:rPr>
      </w:pPr>
      <w:r w:rsidRPr="008C008F">
        <w:rPr>
          <w:rFonts w:ascii="Times New Roman" w:eastAsia="Times New Roman" w:hAnsi="Times New Roman" w:cs="Times New Roman"/>
          <w:b/>
        </w:rPr>
        <w:t>Atidžiai perskaitykite visą šį lapelį, prieš pradėdami vartoti vaistą, nes jame pateikiama Jums svarbi informacija.</w:t>
      </w:r>
    </w:p>
    <w:p w:rsidR="00890CA5" w:rsidRPr="00AF6D99" w:rsidRDefault="00890CA5" w:rsidP="00890CA5">
      <w:pPr>
        <w:spacing w:after="0" w:line="240" w:lineRule="auto"/>
        <w:contextualSpacing/>
        <w:rPr>
          <w:rFonts w:ascii="Times New Roman" w:eastAsia="Times New Roman" w:hAnsi="Times New Roman" w:cs="Times New Roman"/>
        </w:rPr>
      </w:pPr>
      <w:r w:rsidRPr="00AF6D99">
        <w:rPr>
          <w:rFonts w:ascii="Times New Roman" w:eastAsia="Times New Roman" w:hAnsi="Times New Roman" w:cs="Times New Roman"/>
        </w:rPr>
        <w:t>Visada vartokite šį vaistą tiksliai kaip aprašyta šiame lapelyje arba kaip nurodė gydytojas arba vaistininkas.</w:t>
      </w:r>
    </w:p>
    <w:p w:rsidR="00890CA5" w:rsidRPr="00B9038C" w:rsidRDefault="00890CA5" w:rsidP="00890CA5">
      <w:pPr>
        <w:pStyle w:val="ListParagraph"/>
        <w:numPr>
          <w:ilvl w:val="0"/>
          <w:numId w:val="2"/>
        </w:numPr>
        <w:ind w:left="567" w:hanging="567"/>
        <w:rPr>
          <w:rFonts w:eastAsia="Calibri"/>
        </w:rPr>
      </w:pPr>
      <w:r w:rsidRPr="00B9038C">
        <w:rPr>
          <w:rFonts w:eastAsia="Calibri"/>
        </w:rPr>
        <w:t>Neišmeskite šio lapelio, nes vėl gali prireikti jį perskaityti.</w:t>
      </w:r>
    </w:p>
    <w:p w:rsidR="00890CA5" w:rsidRPr="00B9038C" w:rsidRDefault="00890CA5" w:rsidP="00890CA5">
      <w:pPr>
        <w:pStyle w:val="ListParagraph"/>
        <w:numPr>
          <w:ilvl w:val="0"/>
          <w:numId w:val="2"/>
        </w:numPr>
        <w:ind w:left="567" w:hanging="567"/>
        <w:rPr>
          <w:rFonts w:eastAsia="Calibri"/>
        </w:rPr>
      </w:pPr>
      <w:r w:rsidRPr="00B9038C">
        <w:rPr>
          <w:rFonts w:eastAsia="Calibri"/>
        </w:rPr>
        <w:t>Jeigu norite sužinoti daugiau arba pasitarti, kreipkitės į vaistininką.</w:t>
      </w:r>
    </w:p>
    <w:p w:rsidR="00890CA5" w:rsidRPr="00B9038C" w:rsidRDefault="00890CA5" w:rsidP="00890CA5">
      <w:pPr>
        <w:pStyle w:val="ListParagraph"/>
        <w:numPr>
          <w:ilvl w:val="0"/>
          <w:numId w:val="2"/>
        </w:numPr>
        <w:ind w:left="567" w:hanging="567"/>
        <w:rPr>
          <w:rFonts w:eastAsia="Calibri"/>
        </w:rPr>
      </w:pPr>
      <w:r w:rsidRPr="00B9038C">
        <w:rPr>
          <w:rFonts w:eastAsia="Calibri"/>
        </w:rPr>
        <w:t>Jeigu pasireiškė šalutinis poveikis (net jeigu jis šiame lapelyje nenurodytas), kreipkitės į gydytoją arba vaistininką. Žr. 4 skyrių.</w:t>
      </w:r>
    </w:p>
    <w:p w:rsidR="00890CA5" w:rsidRPr="00B9038C" w:rsidRDefault="00890CA5" w:rsidP="00890CA5">
      <w:pPr>
        <w:pStyle w:val="ListParagraph"/>
        <w:numPr>
          <w:ilvl w:val="0"/>
          <w:numId w:val="2"/>
        </w:numPr>
        <w:ind w:left="567" w:hanging="567"/>
        <w:rPr>
          <w:rFonts w:eastAsia="Calibri"/>
        </w:rPr>
      </w:pPr>
      <w:r w:rsidRPr="00B9038C">
        <w:rPr>
          <w:rFonts w:eastAsia="Calibri"/>
        </w:rPr>
        <w:t>Jeigu 7 dienas Jūsų savijauta nepagerėjo arba net pablogėjo, kreipkitės į gydytoją.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keepNext/>
        <w:tabs>
          <w:tab w:val="left" w:pos="567"/>
        </w:tabs>
        <w:spacing w:after="0" w:line="260" w:lineRule="exact"/>
        <w:jc w:val="both"/>
        <w:outlineLvl w:val="3"/>
        <w:rPr>
          <w:rFonts w:ascii="Times New Roman" w:eastAsia="Times New Roman" w:hAnsi="Times New Roman" w:cs="Times New Roman"/>
          <w:b/>
          <w:bCs/>
          <w:snapToGrid w:val="0"/>
          <w:lang w:eastAsia="ar-SA"/>
        </w:rPr>
      </w:pPr>
      <w:r w:rsidRPr="008C008F">
        <w:rPr>
          <w:rFonts w:ascii="Times New Roman" w:eastAsia="Times New Roman" w:hAnsi="Times New Roman" w:cs="Times New Roman"/>
          <w:b/>
          <w:bCs/>
          <w:snapToGrid w:val="0"/>
          <w:lang w:eastAsia="ar-SA"/>
        </w:rPr>
        <w:t>Apie ką rašoma šiame lapelyje?</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1.</w:t>
      </w:r>
      <w:r w:rsidRPr="008C008F">
        <w:rPr>
          <w:rFonts w:ascii="Times New Roman" w:eastAsia="Times New Roman" w:hAnsi="Times New Roman" w:cs="Times New Roman"/>
          <w:lang w:eastAsia="ar-SA"/>
        </w:rPr>
        <w:tab/>
        <w:t>Kas yra Otrivin Menthol ir kam jis vartojamas</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2.</w:t>
      </w:r>
      <w:r w:rsidRPr="008C008F">
        <w:rPr>
          <w:rFonts w:ascii="Times New Roman" w:eastAsia="Times New Roman" w:hAnsi="Times New Roman" w:cs="Times New Roman"/>
          <w:lang w:eastAsia="ar-SA"/>
        </w:rPr>
        <w:tab/>
        <w:t>Kas žinotina prieš vartojant Otrivin Menthol</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3.</w:t>
      </w:r>
      <w:r w:rsidRPr="008C008F">
        <w:rPr>
          <w:rFonts w:ascii="Times New Roman" w:eastAsia="Times New Roman" w:hAnsi="Times New Roman" w:cs="Times New Roman"/>
          <w:lang w:eastAsia="ar-SA"/>
        </w:rPr>
        <w:tab/>
        <w:t>Kaip vartoti Otrivin Menthol</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4.</w:t>
      </w:r>
      <w:r w:rsidRPr="008C008F">
        <w:rPr>
          <w:rFonts w:ascii="Times New Roman" w:eastAsia="Times New Roman" w:hAnsi="Times New Roman" w:cs="Times New Roman"/>
          <w:lang w:eastAsia="ar-SA"/>
        </w:rPr>
        <w:tab/>
        <w:t>Galimas šalutinis poveikis</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5.</w:t>
      </w:r>
      <w:r w:rsidRPr="008C008F">
        <w:rPr>
          <w:rFonts w:ascii="Times New Roman" w:eastAsia="Times New Roman" w:hAnsi="Times New Roman" w:cs="Times New Roman"/>
          <w:lang w:eastAsia="ar-SA"/>
        </w:rPr>
        <w:tab/>
        <w:t>Kaip laikyti Otrivin Menthol</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6.</w:t>
      </w:r>
      <w:r w:rsidRPr="008C008F">
        <w:rPr>
          <w:rFonts w:ascii="Times New Roman" w:eastAsia="Times New Roman" w:hAnsi="Times New Roman" w:cs="Times New Roman"/>
          <w:lang w:eastAsia="ar-SA"/>
        </w:rPr>
        <w:tab/>
      </w:r>
      <w:r w:rsidRPr="008C008F">
        <w:rPr>
          <w:rFonts w:ascii="Times New Roman" w:eastAsia="Times New Roman" w:hAnsi="Times New Roman" w:cs="Times New Roman"/>
          <w:noProof/>
          <w:lang w:eastAsia="ar-SA"/>
        </w:rPr>
        <w:t>Pakuotės turinys ir k</w:t>
      </w:r>
      <w:r w:rsidRPr="008C008F">
        <w:rPr>
          <w:rFonts w:ascii="Times New Roman" w:eastAsia="Times New Roman" w:hAnsi="Times New Roman" w:cs="Times New Roman"/>
          <w:lang w:eastAsia="ar-SA"/>
        </w:rPr>
        <w:t>ita informacija</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keepNext/>
        <w:tabs>
          <w:tab w:val="left" w:pos="567"/>
        </w:tabs>
        <w:spacing w:after="0" w:line="260" w:lineRule="exact"/>
        <w:jc w:val="both"/>
        <w:outlineLvl w:val="3"/>
        <w:rPr>
          <w:rFonts w:ascii="Times New Roman" w:eastAsia="Times New Roman" w:hAnsi="Times New Roman" w:cs="Times New Roman"/>
          <w:b/>
          <w:bCs/>
          <w:snapToGrid w:val="0"/>
          <w:lang w:eastAsia="ar-SA"/>
        </w:rPr>
      </w:pPr>
      <w:bookmarkStart w:id="2" w:name="_Toc129243139"/>
      <w:bookmarkStart w:id="3" w:name="_Toc129243264"/>
      <w:r w:rsidRPr="008C008F">
        <w:rPr>
          <w:rFonts w:ascii="Times New Roman" w:eastAsia="Times New Roman" w:hAnsi="Times New Roman" w:cs="Times New Roman"/>
          <w:b/>
          <w:bCs/>
          <w:snapToGrid w:val="0"/>
          <w:lang w:eastAsia="ar-SA"/>
        </w:rPr>
        <w:t>1.</w:t>
      </w:r>
      <w:r w:rsidRPr="008C008F">
        <w:rPr>
          <w:rFonts w:ascii="Times New Roman" w:eastAsia="Times New Roman" w:hAnsi="Times New Roman" w:cs="Times New Roman"/>
          <w:b/>
          <w:bCs/>
          <w:snapToGrid w:val="0"/>
          <w:lang w:eastAsia="ar-SA"/>
        </w:rPr>
        <w:tab/>
        <w:t>Kas yra Otrivin Menthol ir kam jis vartojamas</w:t>
      </w:r>
    </w:p>
    <w:bookmarkEnd w:id="2"/>
    <w:bookmarkEnd w:id="3"/>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r w:rsidRPr="000E4B44">
        <w:rPr>
          <w:rFonts w:ascii="Times New Roman" w:eastAsia="Times New Roman" w:hAnsi="Times New Roman" w:cs="Times New Roman"/>
          <w:lang w:eastAsia="ar-SA"/>
        </w:rPr>
        <w:t>Otrivin Menthol yra greitai nosies gleivinės paburkimą mažinantis vaistas, dėl kurio poveikio greitai praeina nosies užgulimas. Preparate yra šaldomųjų mentolio ir eukaliptolo (cineolo) aromatinių medžiagų. Otrivin Menthol skirtas vartoti ir suaugusiems žmonėms, ir vyresniems kaip 12 metų paaugliams.</w:t>
      </w: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r w:rsidRPr="000E4B44">
        <w:rPr>
          <w:rFonts w:ascii="Times New Roman" w:eastAsia="Times New Roman" w:hAnsi="Times New Roman" w:cs="Times New Roman"/>
          <w:lang w:eastAsia="ar-SA"/>
        </w:rPr>
        <w:t>Otrivin Menthol sudėtyje yra aktyviosios medžiagos ksilometazolino hidrochlorido. Jis greitai atkemša užsikišusią nosį, padeda pasišalinti užsikimšusios gleivinės išskyroms, todėl kvėpuoti tampa lengviau. Preparatas lengvina nosies užgulimą, kuris atsiranda peršalus, susirgus šienlige ar kitokia alergine sloga bei sinusitu.</w:t>
      </w: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p>
    <w:p w:rsidR="00890CA5" w:rsidRPr="000E4B44" w:rsidRDefault="00890CA5" w:rsidP="00890CA5">
      <w:pPr>
        <w:tabs>
          <w:tab w:val="left" w:pos="567"/>
        </w:tabs>
        <w:spacing w:after="0" w:line="240" w:lineRule="auto"/>
        <w:rPr>
          <w:rFonts w:ascii="Times New Roman" w:eastAsia="Calibri" w:hAnsi="Times New Roman" w:cs="Times New Roman"/>
          <w:noProof/>
          <w:lang w:eastAsia="lt-LT"/>
        </w:rPr>
      </w:pPr>
      <w:r w:rsidRPr="000E4B44">
        <w:rPr>
          <w:rFonts w:ascii="Times New Roman" w:eastAsia="Calibri" w:hAnsi="Times New Roman" w:cs="Times New Roman"/>
          <w:noProof/>
          <w:lang w:eastAsia="lt-LT"/>
        </w:rPr>
        <w:t>Pavartojus Otrivin Menthol, poveikis prasideda po kelių minučių ir tęsiasi apie 10 valandų (beveik visą naktį).</w:t>
      </w: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r w:rsidRPr="000E4B44">
        <w:rPr>
          <w:rFonts w:ascii="Times New Roman" w:eastAsia="Times New Roman" w:hAnsi="Times New Roman" w:cs="Times New Roman"/>
          <w:lang w:eastAsia="ar-SA"/>
        </w:rPr>
        <w:t>Net tie pacientai, kurių nosies gleivinė yra jautri, vaistą toleruoja gerai.</w:t>
      </w: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r w:rsidRPr="000E4B44">
        <w:rPr>
          <w:rFonts w:ascii="Times New Roman" w:eastAsia="Times New Roman" w:hAnsi="Times New Roman" w:cs="Times New Roman"/>
          <w:lang w:eastAsia="ar-SA"/>
        </w:rPr>
        <w:t>Kad sumažėtų nosies ir ryklės gleivinės paburkimas, vaisto galima vartoti į nosį ir pasireiškus infekcinei ausų ligai. Jo gali skirti gydytojas net tuo atveju, kai reikia tirti nosį.</w:t>
      </w: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p>
    <w:p w:rsidR="00890CA5" w:rsidRPr="000E4B44" w:rsidRDefault="00890CA5" w:rsidP="00890CA5">
      <w:pPr>
        <w:tabs>
          <w:tab w:val="left" w:pos="567"/>
        </w:tabs>
        <w:suppressAutoHyphens/>
        <w:spacing w:after="0" w:line="240" w:lineRule="auto"/>
        <w:rPr>
          <w:rFonts w:ascii="Times New Roman" w:eastAsia="Times New Roman" w:hAnsi="Times New Roman" w:cs="Times New Roman"/>
          <w:lang w:eastAsia="ar-SA"/>
        </w:rPr>
      </w:pPr>
      <w:r w:rsidRPr="000E4B44">
        <w:rPr>
          <w:rFonts w:ascii="Times New Roman" w:eastAsia="Times New Roman" w:hAnsi="Times New Roman" w:cs="Times New Roman"/>
          <w:lang w:eastAsia="ar-SA"/>
        </w:rPr>
        <w:t>Be to, Otrivin Menthol sudėtyje nėra konservantų. Tai labai sumažina alergijos ar sudirginimo pasireiškimo tikimybę.</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keepNext/>
        <w:tabs>
          <w:tab w:val="left" w:pos="567"/>
        </w:tabs>
        <w:spacing w:after="0" w:line="260" w:lineRule="exact"/>
        <w:jc w:val="both"/>
        <w:outlineLvl w:val="3"/>
        <w:rPr>
          <w:rFonts w:ascii="Times New Roman" w:eastAsia="Times New Roman" w:hAnsi="Times New Roman" w:cs="Times New Roman"/>
          <w:b/>
          <w:bCs/>
          <w:snapToGrid w:val="0"/>
          <w:lang w:eastAsia="ar-SA"/>
        </w:rPr>
      </w:pPr>
      <w:bookmarkStart w:id="4" w:name="_Toc129243140"/>
      <w:bookmarkStart w:id="5" w:name="_Toc129243265"/>
      <w:r w:rsidRPr="008C008F">
        <w:rPr>
          <w:rFonts w:ascii="Times New Roman" w:eastAsia="Times New Roman" w:hAnsi="Times New Roman" w:cs="Times New Roman"/>
          <w:b/>
          <w:bCs/>
          <w:snapToGrid w:val="0"/>
          <w:lang w:eastAsia="ar-SA"/>
        </w:rPr>
        <w:t>2.</w:t>
      </w:r>
      <w:r w:rsidRPr="008C008F">
        <w:rPr>
          <w:rFonts w:ascii="Times New Roman" w:eastAsia="Times New Roman" w:hAnsi="Times New Roman" w:cs="Times New Roman"/>
          <w:b/>
          <w:bCs/>
          <w:snapToGrid w:val="0"/>
          <w:lang w:eastAsia="ar-SA"/>
        </w:rPr>
        <w:tab/>
        <w:t>Kas žinotina prieš vartojant Otrivin Menthol</w:t>
      </w:r>
    </w:p>
    <w:bookmarkEnd w:id="4"/>
    <w:bookmarkEnd w:id="5"/>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1296"/>
        </w:tabs>
        <w:spacing w:after="0" w:line="220" w:lineRule="exact"/>
        <w:rPr>
          <w:rFonts w:ascii="Times New Roman" w:eastAsia="Times New Roman" w:hAnsi="Times New Roman" w:cs="Times New Roman"/>
          <w:b/>
          <w:bCs/>
        </w:rPr>
      </w:pPr>
      <w:r w:rsidRPr="008C008F">
        <w:rPr>
          <w:rFonts w:ascii="Times New Roman" w:eastAsia="Times New Roman" w:hAnsi="Times New Roman" w:cs="Times New Roman"/>
          <w:b/>
          <w:bCs/>
        </w:rPr>
        <w:t>Otrivin Menthol vartoti negalima:</w:t>
      </w:r>
    </w:p>
    <w:p w:rsidR="00890CA5" w:rsidRPr="002A7A9A" w:rsidRDefault="00890CA5" w:rsidP="00890CA5">
      <w:pPr>
        <w:numPr>
          <w:ilvl w:val="0"/>
          <w:numId w:val="3"/>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yra alergija ksilometazolinui arba bet kuriai pagalbinei šio vaisto medžiagai (jos išvardytos 6 skyriuje);</w:t>
      </w:r>
    </w:p>
    <w:p w:rsidR="00890CA5" w:rsidRPr="002A7A9A" w:rsidRDefault="00890CA5" w:rsidP="00890CA5">
      <w:pPr>
        <w:numPr>
          <w:ilvl w:val="0"/>
          <w:numId w:val="3"/>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 xml:space="preserve">jeigu Jums neseniai buvo atlikta operacija pro nosį </w:t>
      </w:r>
      <w:r w:rsidRPr="00B9038C">
        <w:rPr>
          <w:rFonts w:ascii="Times New Roman" w:hAnsi="Times New Roman"/>
        </w:rPr>
        <w:t>(galvos smegenų operacija, kuri atliekama per nosį arba burną)</w:t>
      </w:r>
      <w:r w:rsidRPr="002A7A9A">
        <w:rPr>
          <w:rFonts w:ascii="Times New Roman" w:eastAsia="Times New Roman" w:hAnsi="Times New Roman" w:cs="Times New Roman"/>
          <w:noProof/>
        </w:rPr>
        <w:t>;</w:t>
      </w:r>
    </w:p>
    <w:p w:rsidR="00890CA5" w:rsidRPr="002A7A9A" w:rsidRDefault="00890CA5" w:rsidP="00890CA5">
      <w:pPr>
        <w:numPr>
          <w:ilvl w:val="0"/>
          <w:numId w:val="3"/>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sergate uždaro kampo glaukoma(padidėjęs spaudimas akyje);</w:t>
      </w:r>
    </w:p>
    <w:p w:rsidR="00890CA5" w:rsidRPr="002A7A9A" w:rsidRDefault="00890CA5" w:rsidP="00890CA5">
      <w:pPr>
        <w:numPr>
          <w:ilvl w:val="0"/>
          <w:numId w:val="3"/>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sergate lėtiniu nosies uždegimu, kai susidaro labai sausos nosies išskyros (sausasis nosies gleivinės uždegimas (</w:t>
      </w:r>
      <w:r w:rsidRPr="002A7A9A">
        <w:rPr>
          <w:rFonts w:ascii="Times New Roman" w:hAnsi="Times New Roman" w:cs="Times New Roman"/>
          <w:i/>
          <w:noProof/>
        </w:rPr>
        <w:t>Rhinitis sicca</w:t>
      </w:r>
      <w:r w:rsidRPr="002A7A9A">
        <w:rPr>
          <w:rFonts w:ascii="Times New Roman" w:eastAsia="Times New Roman" w:hAnsi="Times New Roman" w:cs="Times New Roman"/>
          <w:noProof/>
        </w:rPr>
        <w:t>) arba atrofinis rinitas).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Jei yra nors viena iš minėtų būklių, reikia pasakyti gydytojui arba vaistininkui, nes dėl išvardytų priežasčių Otrivin Menthol vartoti negalima.</w:t>
      </w:r>
    </w:p>
    <w:p w:rsidR="00890CA5" w:rsidRPr="008C008F" w:rsidRDefault="00890CA5" w:rsidP="00890CA5">
      <w:pPr>
        <w:tabs>
          <w:tab w:val="left" w:pos="1296"/>
        </w:tabs>
        <w:spacing w:after="0" w:line="220" w:lineRule="exact"/>
        <w:rPr>
          <w:rFonts w:ascii="Times New Roman" w:eastAsia="Times New Roman" w:hAnsi="Times New Roman" w:cs="Times New Roman"/>
          <w:b/>
          <w:bCs/>
        </w:rPr>
      </w:pPr>
    </w:p>
    <w:p w:rsidR="00890CA5" w:rsidRPr="008C008F" w:rsidRDefault="00890CA5" w:rsidP="00890CA5">
      <w:pPr>
        <w:keepNext/>
        <w:tabs>
          <w:tab w:val="left" w:pos="567"/>
        </w:tabs>
        <w:spacing w:after="0" w:line="260" w:lineRule="exact"/>
        <w:jc w:val="both"/>
        <w:outlineLvl w:val="3"/>
        <w:rPr>
          <w:rFonts w:ascii="Times New Roman" w:eastAsia="Times New Roman" w:hAnsi="Times New Roman" w:cs="Times New Roman"/>
          <w:b/>
          <w:bCs/>
          <w:snapToGrid w:val="0"/>
          <w:lang w:eastAsia="ar-SA"/>
        </w:rPr>
      </w:pPr>
      <w:r w:rsidRPr="008C008F">
        <w:rPr>
          <w:rFonts w:ascii="Times New Roman" w:eastAsia="Times New Roman" w:hAnsi="Times New Roman" w:cs="Times New Roman"/>
          <w:b/>
          <w:bCs/>
          <w:snapToGrid w:val="0"/>
          <w:lang w:eastAsia="ar-SA"/>
        </w:rPr>
        <w:t>Įspėjimai ir atsargumo priemonės</w:t>
      </w:r>
    </w:p>
    <w:p w:rsidR="00890CA5" w:rsidRPr="008C008F" w:rsidRDefault="00890CA5" w:rsidP="00890CA5">
      <w:pPr>
        <w:numPr>
          <w:ilvl w:val="12"/>
          <w:numId w:val="0"/>
        </w:numPr>
        <w:tabs>
          <w:tab w:val="left" w:pos="1296"/>
        </w:tabs>
        <w:suppressAutoHyphens/>
        <w:spacing w:after="0" w:line="240" w:lineRule="auto"/>
        <w:ind w:right="-2"/>
        <w:rPr>
          <w:rFonts w:ascii="Times New Roman" w:eastAsia="Times New Roman" w:hAnsi="Times New Roman" w:cs="Times New Roman"/>
          <w:lang w:eastAsia="ar-SA"/>
        </w:rPr>
      </w:pPr>
      <w:r w:rsidRPr="008C008F">
        <w:rPr>
          <w:rFonts w:ascii="Times New Roman" w:eastAsia="Times New Roman" w:hAnsi="Times New Roman" w:cs="Times New Roman"/>
          <w:noProof/>
          <w:lang w:eastAsia="ar-SA"/>
        </w:rPr>
        <w:t>Pasitarkite su gydytoju arba vaistininku, prieš pradėdami vartoti Otrivin Menthol, jeigu:</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sergate padidėjusio kraujospūdžio liga,</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sergate širdies liga (pvz., pailgėjusio QT intervalo sindromu),</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 skydliaukės funkcijos aktyvumas padidėjęs (hipertiroidizmas),</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sergate cukriniu diabetu,</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yra padidėjusi prostata (prostatos hiperplazija),</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yra gerybinis antinksčių auglys, kuris gamina didelį kiekį adrenalino ir noradrenalino (feochromocitoma),</w:t>
      </w:r>
    </w:p>
    <w:p w:rsidR="00890CA5" w:rsidRPr="002A7A9A" w:rsidRDefault="00890CA5" w:rsidP="00890CA5">
      <w:pPr>
        <w:numPr>
          <w:ilvl w:val="0"/>
          <w:numId w:val="4"/>
        </w:numPr>
        <w:spacing w:after="0" w:line="240" w:lineRule="auto"/>
        <w:ind w:left="1077"/>
        <w:contextualSpacing/>
        <w:rPr>
          <w:rFonts w:ascii="Times New Roman" w:eastAsia="Times New Roman" w:hAnsi="Times New Roman" w:cs="Times New Roman"/>
          <w:noProof/>
        </w:rPr>
      </w:pPr>
      <w:r w:rsidRPr="002A7A9A">
        <w:rPr>
          <w:rFonts w:ascii="Times New Roman" w:eastAsia="Times New Roman" w:hAnsi="Times New Roman" w:cs="Times New Roman"/>
          <w:noProof/>
        </w:rPr>
        <w:t>jeigu yra arba per paskutines dvi savaites buvo vartojami tam tikri antidepresantai, žinomi monoaminooksidazės inhibitorių (MAOI) pavadinimu.</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Jeigu yra nors viena iš minėtų būklių, nevartokite Otrivin Menthol, prieš tai nepasitarę su gydytoju arba vaistininku.</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 xml:space="preserve">Reikia atsiminti, kad Otrivin Menthol, kaip ir kitokie nosies užgulimą mažinantys preparatai, labai </w:t>
      </w:r>
      <w:r w:rsidRPr="008C008F">
        <w:rPr>
          <w:rFonts w:ascii="Times New Roman" w:eastAsia="Times New Roman" w:hAnsi="Times New Roman" w:cs="Times New Roman"/>
          <w:b/>
          <w:lang w:eastAsia="ar-SA"/>
        </w:rPr>
        <w:t>jautriems pacientams</w:t>
      </w:r>
      <w:r w:rsidRPr="008C008F">
        <w:rPr>
          <w:rFonts w:ascii="Times New Roman" w:eastAsia="Times New Roman" w:hAnsi="Times New Roman" w:cs="Times New Roman"/>
          <w:lang w:eastAsia="ar-SA"/>
        </w:rPr>
        <w:t xml:space="preserve"> gali sukelti miego sutrikimą, galvos svaigimą, tremorą. Jeigu atsiranda tokių simptomų, reikia kreiptis į gydytoją.</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 xml:space="preserve">Otrivin Menthol, kaip ir kitokių nosies gleivinės paburkimą mažinančių vaistų, negalima vartoti ilgiau kaip </w:t>
      </w:r>
      <w:r w:rsidRPr="008C008F">
        <w:rPr>
          <w:rFonts w:ascii="Times New Roman" w:eastAsia="Times New Roman" w:hAnsi="Times New Roman" w:cs="Times New Roman"/>
          <w:b/>
          <w:lang w:eastAsia="ar-SA"/>
        </w:rPr>
        <w:t>7 dienas iš eilės</w:t>
      </w:r>
      <w:r w:rsidRPr="008C008F">
        <w:rPr>
          <w:rFonts w:ascii="Times New Roman" w:eastAsia="Times New Roman" w:hAnsi="Times New Roman" w:cs="Times New Roman"/>
          <w:lang w:eastAsia="ar-SA"/>
        </w:rPr>
        <w:t>. Jei simptomai tęsiasi, reikia kreiptis į gydytoją. Vartojant vaisto ilgai ar didelėmis dozėmis, nosies užgulimas gali atsinaujinti arba dar sunkėti.</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Otrivin Menthol negalima purkšti į akis ar burną.</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Nurodytos dozės viršyti negalima, ypač vaikams ir pagyvenusiems žmonėms.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b/>
          <w:lang w:eastAsia="ar-SA"/>
        </w:rPr>
      </w:pPr>
      <w:r w:rsidRPr="008C008F">
        <w:rPr>
          <w:rFonts w:ascii="Times New Roman" w:eastAsia="Times New Roman" w:hAnsi="Times New Roman" w:cs="Times New Roman"/>
          <w:b/>
          <w:lang w:eastAsia="ar-SA"/>
        </w:rPr>
        <w:t>Vaikams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Vaikams iki 12 metų Otrivin Menthol vartoti nerekomenduojama.</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keepNext/>
        <w:tabs>
          <w:tab w:val="left" w:pos="567"/>
        </w:tabs>
        <w:spacing w:after="0" w:line="260" w:lineRule="exact"/>
        <w:jc w:val="both"/>
        <w:outlineLvl w:val="3"/>
        <w:rPr>
          <w:rFonts w:ascii="Times New Roman" w:eastAsia="Times New Roman" w:hAnsi="Times New Roman" w:cs="Times New Roman"/>
          <w:b/>
          <w:bCs/>
          <w:snapToGrid w:val="0"/>
          <w:lang w:eastAsia="ar-SA"/>
        </w:rPr>
      </w:pPr>
      <w:r w:rsidRPr="008C008F">
        <w:rPr>
          <w:rFonts w:ascii="Times New Roman" w:eastAsia="Times New Roman" w:hAnsi="Times New Roman" w:cs="Times New Roman"/>
          <w:b/>
          <w:bCs/>
          <w:snapToGrid w:val="0"/>
          <w:lang w:eastAsia="ar-SA"/>
        </w:rPr>
        <w:t>Kiti vaistai ir Otrivin Menthol</w:t>
      </w:r>
    </w:p>
    <w:p w:rsidR="00890CA5" w:rsidRPr="008C008F" w:rsidRDefault="00890CA5" w:rsidP="00890CA5">
      <w:pPr>
        <w:tabs>
          <w:tab w:val="left" w:pos="567"/>
        </w:tabs>
        <w:spacing w:after="0" w:line="240" w:lineRule="auto"/>
        <w:rPr>
          <w:rFonts w:ascii="Times New Roman" w:eastAsia="Times New Roman" w:hAnsi="Times New Roman" w:cs="Times New Roman"/>
          <w:noProof/>
          <w:lang w:eastAsia="ar-SA"/>
        </w:rPr>
      </w:pPr>
      <w:r w:rsidRPr="008C008F">
        <w:rPr>
          <w:rFonts w:ascii="Times New Roman" w:eastAsia="Times New Roman" w:hAnsi="Times New Roman" w:cs="Times New Roman"/>
          <w:noProof/>
          <w:lang w:eastAsia="ar-SA"/>
        </w:rPr>
        <w:t>Jeigu vartojate ar neseniai vartojote kitų vaistų arba dėl to nesate tikri, apie tai pasakykite gydytojui arba vaistininkui.</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b/>
          <w:bCs/>
        </w:rPr>
        <w:t xml:space="preserve">Ypatingai svarbu nevartoti Otrivin </w:t>
      </w:r>
      <w:r w:rsidRPr="008C008F">
        <w:rPr>
          <w:rFonts w:ascii="Times New Roman" w:eastAsia="Times New Roman" w:hAnsi="Times New Roman" w:cs="Times New Roman"/>
          <w:b/>
        </w:rPr>
        <w:t xml:space="preserve">Menthol, </w:t>
      </w:r>
      <w:r w:rsidRPr="008C008F">
        <w:rPr>
          <w:rFonts w:ascii="Times New Roman" w:eastAsia="Times New Roman" w:hAnsi="Times New Roman" w:cs="Times New Roman"/>
          <w:lang w:eastAsia="ar-SA"/>
        </w:rPr>
        <w:t>jeigu vartojate tam tikrų vaistinių preparatų, skirtų gydyti depresiją. Tokie vaistiniai preparatai yra:</w:t>
      </w:r>
    </w:p>
    <w:p w:rsidR="00890CA5" w:rsidRPr="008C008F" w:rsidRDefault="00890CA5" w:rsidP="00890CA5">
      <w:pPr>
        <w:numPr>
          <w:ilvl w:val="0"/>
          <w:numId w:val="1"/>
        </w:numPr>
        <w:tabs>
          <w:tab w:val="left" w:pos="567"/>
        </w:tabs>
        <w:suppressAutoHyphen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 xml:space="preserve">monoaminooksidazės inhibitoriai (MAOI): </w:t>
      </w:r>
      <w:r w:rsidRPr="00955684">
        <w:rPr>
          <w:rFonts w:ascii="Times New Roman" w:hAnsi="Times New Roman"/>
        </w:rPr>
        <w:t>NEVARTOKITE Otrivin Menthol, jeigu vartojate arba per paskutines 14 dienų vartojote MAOI;</w:t>
      </w:r>
    </w:p>
    <w:p w:rsidR="00890CA5" w:rsidRPr="008C008F" w:rsidRDefault="00890CA5" w:rsidP="00890CA5">
      <w:pPr>
        <w:numPr>
          <w:ilvl w:val="0"/>
          <w:numId w:val="1"/>
        </w:numPr>
        <w:tabs>
          <w:tab w:val="left" w:pos="567"/>
        </w:tabs>
        <w:suppressAutoHyphen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tricikliai ir tetracikliai antidepresantai.</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Jeigu vartojate bet kurį iš išvardytų vaistinių preparatų, prieš vartodami Otrivin Menthol, pasakykite gydytojui arba vaistininkui.</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1296"/>
        </w:tabs>
        <w:spacing w:after="0" w:line="220" w:lineRule="exact"/>
        <w:rPr>
          <w:rFonts w:ascii="Times New Roman" w:eastAsia="Times New Roman" w:hAnsi="Times New Roman" w:cs="Times New Roman"/>
          <w:b/>
          <w:bCs/>
        </w:rPr>
      </w:pPr>
      <w:r w:rsidRPr="008C008F">
        <w:rPr>
          <w:rFonts w:ascii="Times New Roman" w:eastAsia="Times New Roman" w:hAnsi="Times New Roman" w:cs="Times New Roman"/>
          <w:b/>
          <w:bCs/>
        </w:rPr>
        <w:t>Nėštumas ir žindymo laikotarpis</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Nėščioms moterims Otrivin Menthol vartoti draudžiama. Žindymo laikotarpiu Otrivin Menthol galima vartoti tik gydytojui paskyrus. Prieš vartojant bet kokį vaistą, būtina pasitarti su gydytoju arba vaistininku.</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b/>
          <w:lang w:eastAsia="ar-SA"/>
        </w:rPr>
      </w:pPr>
      <w:r w:rsidRPr="008C008F">
        <w:rPr>
          <w:rFonts w:ascii="Times New Roman" w:eastAsia="Times New Roman" w:hAnsi="Times New Roman" w:cs="Times New Roman"/>
          <w:b/>
          <w:lang w:eastAsia="ar-SA"/>
        </w:rPr>
        <w:t>Vairavimas ir mechanizmų valdymas</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Otrivin Menthol gebėjimo vairuoti ir valdyti mechanizmus neveikia arba veikia nereikšmingai.</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b/>
          <w:lang w:eastAsia="ar-SA"/>
        </w:rPr>
        <w:t>Otrivin Menthol sudėtyje yra makrogolglicerolio hidroksistearato</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Jis gali sukelti odos reakcijų.</w:t>
      </w:r>
    </w:p>
    <w:p w:rsidR="00890CA5" w:rsidRPr="003F1965"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keepNext/>
        <w:keepLines/>
        <w:tabs>
          <w:tab w:val="left" w:pos="567"/>
        </w:tabs>
        <w:suppressAutoHyphens/>
        <w:spacing w:after="0" w:line="240" w:lineRule="auto"/>
        <w:outlineLvl w:val="2"/>
        <w:rPr>
          <w:rFonts w:ascii="Times New Roman" w:eastAsia="Times New Roman" w:hAnsi="Times New Roman" w:cs="Times New Roman"/>
          <w:b/>
          <w:bCs/>
          <w:lang w:eastAsia="ar-SA"/>
        </w:rPr>
      </w:pPr>
      <w:bookmarkStart w:id="6" w:name="_Toc129243141"/>
      <w:bookmarkStart w:id="7" w:name="_Toc129243266"/>
      <w:r w:rsidRPr="008C008F">
        <w:rPr>
          <w:rFonts w:ascii="Times New Roman" w:eastAsia="Times New Roman" w:hAnsi="Times New Roman" w:cs="Times New Roman"/>
          <w:b/>
          <w:bCs/>
          <w:lang w:eastAsia="ar-SA"/>
        </w:rPr>
        <w:t>3.</w:t>
      </w:r>
      <w:r w:rsidRPr="008C008F">
        <w:rPr>
          <w:rFonts w:ascii="Times New Roman" w:eastAsia="Times New Roman" w:hAnsi="Times New Roman" w:cs="Times New Roman"/>
          <w:b/>
          <w:bCs/>
          <w:lang w:eastAsia="ar-SA"/>
        </w:rPr>
        <w:tab/>
        <w:t>Kaip vartoti Otrivin Menthol</w:t>
      </w:r>
    </w:p>
    <w:bookmarkEnd w:id="6"/>
    <w:bookmarkEnd w:id="7"/>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 xml:space="preserve">Visada vartokite </w:t>
      </w:r>
      <w:r w:rsidRPr="008C008F">
        <w:rPr>
          <w:rFonts w:ascii="Times New Roman" w:eastAsia="Times New Roman" w:hAnsi="Times New Roman" w:cs="Times New Roman"/>
          <w:noProof/>
          <w:lang w:eastAsia="ar-SA"/>
        </w:rPr>
        <w:t>šį vaistą tiksliai</w:t>
      </w:r>
      <w:r w:rsidRPr="008C008F">
        <w:rPr>
          <w:rFonts w:ascii="Times New Roman" w:eastAsia="Times New Roman" w:hAnsi="Times New Roman" w:cs="Times New Roman"/>
          <w:lang w:eastAsia="ar-SA"/>
        </w:rPr>
        <w:t>, kaip rekomenduojama žemiau. Jeigu abejojate, kreipkitės į gydytoją arba vaistininką.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Vaikams iki 12 metų Otrivin Menthol vartoti nerekomenduojama.</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Įprastinės dozės nurodytos lentelėje.</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tbl>
      <w:tblPr>
        <w:tblW w:w="7920" w:type="dxa"/>
        <w:tblBorders>
          <w:top w:val="single" w:sz="4" w:space="0" w:color="auto"/>
          <w:bottom w:val="single" w:sz="4" w:space="0" w:color="auto"/>
        </w:tblBorders>
        <w:tblLayout w:type="fixed"/>
        <w:tblLook w:val="04A0" w:firstRow="1" w:lastRow="0" w:firstColumn="1" w:lastColumn="0" w:noHBand="0" w:noVBand="1"/>
      </w:tblPr>
      <w:tblGrid>
        <w:gridCol w:w="2554"/>
        <w:gridCol w:w="5366"/>
      </w:tblGrid>
      <w:tr w:rsidR="00890CA5" w:rsidRPr="008C008F" w:rsidTr="006E4ACA">
        <w:trPr>
          <w:tblHeader/>
        </w:trPr>
        <w:tc>
          <w:tcPr>
            <w:tcW w:w="2552" w:type="dxa"/>
            <w:tcBorders>
              <w:top w:val="single" w:sz="4" w:space="0" w:color="auto"/>
              <w:left w:val="nil"/>
              <w:bottom w:val="single" w:sz="4" w:space="0" w:color="auto"/>
              <w:right w:val="nil"/>
            </w:tcBorders>
            <w:hideMark/>
          </w:tcPr>
          <w:p w:rsidR="00890CA5" w:rsidRPr="008C008F" w:rsidRDefault="00890CA5" w:rsidP="006E4ACA">
            <w:pPr>
              <w:tabs>
                <w:tab w:val="left" w:pos="567"/>
              </w:tabs>
              <w:spacing w:after="0"/>
              <w:jc w:val="both"/>
              <w:rPr>
                <w:rFonts w:ascii="Times New Roman" w:eastAsia="Times New Roman" w:hAnsi="Times New Roman" w:cs="Times New Roman"/>
                <w:u w:val="single"/>
                <w:lang w:eastAsia="ar-SA"/>
              </w:rPr>
            </w:pPr>
            <w:r w:rsidRPr="008C008F">
              <w:rPr>
                <w:rFonts w:ascii="Times New Roman" w:eastAsia="Times New Roman" w:hAnsi="Times New Roman" w:cs="Times New Roman"/>
                <w:b/>
                <w:bCs/>
                <w:u w:val="single"/>
                <w:lang w:eastAsia="ar-SA"/>
              </w:rPr>
              <w:t>Amžius</w:t>
            </w:r>
          </w:p>
        </w:tc>
        <w:tc>
          <w:tcPr>
            <w:tcW w:w="5362" w:type="dxa"/>
            <w:tcBorders>
              <w:top w:val="single" w:sz="4" w:space="0" w:color="auto"/>
              <w:left w:val="nil"/>
              <w:bottom w:val="single" w:sz="4" w:space="0" w:color="auto"/>
              <w:right w:val="nil"/>
            </w:tcBorders>
            <w:hideMark/>
          </w:tcPr>
          <w:p w:rsidR="00890CA5" w:rsidRPr="008C008F" w:rsidRDefault="00890CA5" w:rsidP="006E4ACA">
            <w:pPr>
              <w:tabs>
                <w:tab w:val="left" w:pos="567"/>
              </w:tabs>
              <w:spacing w:after="0"/>
              <w:jc w:val="both"/>
              <w:rPr>
                <w:rFonts w:ascii="Times New Roman" w:eastAsia="Times New Roman" w:hAnsi="Times New Roman" w:cs="Times New Roman"/>
                <w:u w:val="single"/>
                <w:lang w:eastAsia="ar-SA"/>
              </w:rPr>
            </w:pPr>
            <w:r w:rsidRPr="008C008F">
              <w:rPr>
                <w:rFonts w:ascii="Times New Roman" w:eastAsia="Times New Roman" w:hAnsi="Times New Roman" w:cs="Times New Roman"/>
                <w:b/>
                <w:bCs/>
                <w:u w:val="single"/>
                <w:lang w:eastAsia="ar-SA"/>
              </w:rPr>
              <w:t>Dozavimas</w:t>
            </w:r>
          </w:p>
        </w:tc>
      </w:tr>
      <w:tr w:rsidR="00890CA5" w:rsidRPr="008C008F" w:rsidTr="006E4ACA">
        <w:tc>
          <w:tcPr>
            <w:tcW w:w="2552" w:type="dxa"/>
            <w:tcBorders>
              <w:top w:val="single" w:sz="4" w:space="0" w:color="auto"/>
              <w:left w:val="nil"/>
              <w:bottom w:val="single" w:sz="4" w:space="0" w:color="auto"/>
              <w:right w:val="nil"/>
            </w:tcBorders>
            <w:hideMark/>
          </w:tcPr>
          <w:p w:rsidR="00890CA5" w:rsidRPr="008C008F" w:rsidRDefault="00890CA5" w:rsidP="006E4ACA">
            <w:pPr>
              <w:tabs>
                <w:tab w:val="left" w:pos="567"/>
              </w:tabs>
              <w:spacing w:after="0"/>
              <w:rPr>
                <w:rFonts w:ascii="Times New Roman" w:eastAsia="Times New Roman" w:hAnsi="Times New Roman" w:cs="Times New Roman"/>
                <w:u w:val="single"/>
                <w:lang w:eastAsia="ar-SA"/>
              </w:rPr>
            </w:pPr>
            <w:r w:rsidRPr="008C008F">
              <w:rPr>
                <w:rFonts w:ascii="Times New Roman" w:eastAsia="Times New Roman" w:hAnsi="Times New Roman" w:cs="Times New Roman"/>
                <w:lang w:eastAsia="ar-SA"/>
              </w:rPr>
              <w:t>Suaugusieji ir vyresni kaip 12 metų paaugliai</w:t>
            </w:r>
          </w:p>
        </w:tc>
        <w:tc>
          <w:tcPr>
            <w:tcW w:w="5362" w:type="dxa"/>
            <w:tcBorders>
              <w:top w:val="single" w:sz="4" w:space="0" w:color="auto"/>
              <w:left w:val="nil"/>
              <w:bottom w:val="single" w:sz="4" w:space="0" w:color="auto"/>
              <w:right w:val="nil"/>
            </w:tcBorders>
            <w:hideMark/>
          </w:tcPr>
          <w:p w:rsidR="00890CA5" w:rsidRPr="00955684" w:rsidRDefault="00890CA5" w:rsidP="006E4ACA">
            <w:pPr>
              <w:tabs>
                <w:tab w:val="left" w:pos="567"/>
              </w:tabs>
              <w:spacing w:after="0"/>
              <w:rPr>
                <w:rFonts w:ascii="Times New Roman" w:hAnsi="Times New Roman"/>
                <w:u w:val="single"/>
              </w:rPr>
            </w:pPr>
            <w:r w:rsidRPr="00955684">
              <w:rPr>
                <w:rFonts w:ascii="Times New Roman" w:hAnsi="Times New Roman"/>
              </w:rPr>
              <w:t xml:space="preserve">Į kiekvieną nosies landą įpurkšti po 1 įpurškimą, kai reikia. Negalima purkšti daugiau kaip 3 kartus per parą į kiekvieną nosies landą. </w:t>
            </w:r>
            <w:r w:rsidRPr="008C008F">
              <w:rPr>
                <w:rFonts w:ascii="Times New Roman" w:eastAsia="Times New Roman" w:hAnsi="Times New Roman" w:cs="Times New Roman"/>
                <w:lang w:eastAsia="ar-SA"/>
              </w:rPr>
              <w:t>Paskutinę dozę galima vartoti prieš einant miegoti.</w:t>
            </w:r>
          </w:p>
        </w:tc>
      </w:tr>
    </w:tbl>
    <w:p w:rsidR="00890CA5" w:rsidRPr="008C008F" w:rsidRDefault="00890CA5" w:rsidP="00890CA5">
      <w:pPr>
        <w:tabs>
          <w:tab w:val="left" w:pos="567"/>
        </w:tabs>
        <w:suppressAutoHyphens/>
        <w:spacing w:after="0" w:line="260" w:lineRule="exact"/>
        <w:rPr>
          <w:rFonts w:ascii="Times New Roman" w:eastAsia="Times New Roman" w:hAnsi="Times New Roman" w:cs="Times New Roman"/>
          <w:u w:val="single"/>
          <w:lang w:eastAsia="ar-SA"/>
        </w:rPr>
      </w:pPr>
    </w:p>
    <w:p w:rsidR="00890CA5" w:rsidRPr="00273DD5" w:rsidRDefault="00890CA5" w:rsidP="00890CA5">
      <w:pPr>
        <w:tabs>
          <w:tab w:val="left" w:pos="567"/>
        </w:tabs>
        <w:spacing w:after="0" w:line="240" w:lineRule="auto"/>
      </w:pPr>
      <w:r w:rsidRPr="008C008F">
        <w:rPr>
          <w:rFonts w:ascii="Times New Roman" w:eastAsia="Times New Roman" w:hAnsi="Times New Roman" w:cs="Times New Roman"/>
          <w:lang w:eastAsia="ar-SA"/>
        </w:rPr>
        <w:t>1.</w:t>
      </w:r>
      <w:r w:rsidRPr="0020009D">
        <w:rPr>
          <w:rFonts w:ascii="Times New Roman" w:eastAsia="Times New Roman" w:hAnsi="Times New Roman" w:cs="Times New Roman"/>
          <w:lang w:eastAsia="ar-SA"/>
        </w:rPr>
        <w:t xml:space="preserve"> </w:t>
      </w:r>
      <w:r w:rsidRPr="008C008F">
        <w:rPr>
          <w:rFonts w:ascii="Times New Roman" w:eastAsia="Times New Roman" w:hAnsi="Times New Roman" w:cs="Times New Roman"/>
          <w:lang w:eastAsia="ar-SA"/>
        </w:rPr>
        <w:tab/>
      </w:r>
      <w:r w:rsidRPr="00B9038C">
        <w:rPr>
          <w:rFonts w:ascii="Times New Roman" w:hAnsi="Times New Roman"/>
        </w:rPr>
        <w:t>Nenukirpkite purkštuko antgalio. Dozuojamasis purkštukas yra paruoštas užtaisymui prieš naudojimą.</w:t>
      </w:r>
    </w:p>
    <w:p w:rsidR="00890CA5" w:rsidRPr="00B9038C" w:rsidRDefault="00890CA5" w:rsidP="00890CA5">
      <w:pPr>
        <w:tabs>
          <w:tab w:val="left" w:pos="567"/>
        </w:tabs>
        <w:rPr>
          <w:rFonts w:ascii="Times New Roman" w:hAnsi="Times New Roman"/>
        </w:rPr>
      </w:pPr>
      <w:r w:rsidRPr="00B9038C">
        <w:rPr>
          <w:rFonts w:ascii="Times New Roman" w:hAnsi="Times New Roman"/>
          <w:noProof/>
          <w:lang w:eastAsia="lt-LT"/>
        </w:rPr>
        <w:drawing>
          <wp:inline distT="0" distB="0" distL="0" distR="0" wp14:anchorId="390313F6" wp14:editId="4621973D">
            <wp:extent cx="914400" cy="92857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280" cy="938610"/>
                    </a:xfrm>
                    <a:prstGeom prst="rect">
                      <a:avLst/>
                    </a:prstGeom>
                    <a:noFill/>
                  </pic:spPr>
                </pic:pic>
              </a:graphicData>
            </a:graphic>
          </wp:inline>
        </w:drawing>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955684">
        <w:rPr>
          <w:rFonts w:ascii="Times New Roman" w:hAnsi="Times New Roman"/>
        </w:rPr>
        <w:t>2.</w:t>
      </w:r>
      <w:r w:rsidRPr="00955684">
        <w:rPr>
          <w:rFonts w:ascii="Times New Roman" w:hAnsi="Times New Roman"/>
        </w:rPr>
        <w:tab/>
      </w:r>
      <w:r w:rsidRPr="008C008F">
        <w:rPr>
          <w:rFonts w:ascii="Times New Roman" w:eastAsia="Times New Roman" w:hAnsi="Times New Roman" w:cs="Times New Roman"/>
          <w:lang w:eastAsia="ar-SA"/>
        </w:rPr>
        <w:t>Išsišnypškite nosį.</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3.</w:t>
      </w:r>
      <w:r w:rsidRPr="008C008F">
        <w:rPr>
          <w:rFonts w:ascii="Times New Roman" w:eastAsia="Times New Roman" w:hAnsi="Times New Roman" w:cs="Times New Roman"/>
          <w:lang w:eastAsia="ar-SA"/>
        </w:rPr>
        <w:tab/>
        <w:t>Nuimkite apsauginį dangtelį.</w:t>
      </w:r>
    </w:p>
    <w:p w:rsidR="00890CA5" w:rsidRPr="008C008F" w:rsidRDefault="00890CA5" w:rsidP="00890CA5">
      <w:pPr>
        <w:tabs>
          <w:tab w:val="left" w:pos="567"/>
        </w:tabs>
        <w:spacing w:after="0" w:line="240" w:lineRule="auto"/>
        <w:ind w:left="567" w:hanging="567"/>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4.</w:t>
      </w:r>
      <w:r w:rsidRPr="008C008F">
        <w:rPr>
          <w:rFonts w:ascii="Times New Roman" w:eastAsia="Times New Roman" w:hAnsi="Times New Roman" w:cs="Times New Roman"/>
          <w:lang w:eastAsia="ar-SA"/>
        </w:rPr>
        <w:tab/>
        <w:t>Prieš pirmą kartą vartojant preparato, užtaisykite pompą išspausdami 4 įpurškimus į aplinką, kol į orą išpurškiama vienodo dydžio dozė. Taip užtaisyta pompa yra paruošta įprastiniam kasdieniniam naudojimui. Jeigu pilno pompos paspaudimo metu įpurškimo nėra arba jeigu preparato nevartojote ilgiau kaip 6 dienas, dozavimo pompą reikia vėl užtaisyti išspaudžiant 4 įpurškimus į aplinką. Saugokitės, kad neįpurkštumėte į akis ar burną.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5.</w:t>
      </w:r>
      <w:r w:rsidRPr="008C008F">
        <w:rPr>
          <w:rFonts w:ascii="Times New Roman" w:eastAsia="Times New Roman" w:hAnsi="Times New Roman" w:cs="Times New Roman"/>
          <w:lang w:eastAsia="ar-SA"/>
        </w:rPr>
        <w:tab/>
        <w:t>Buteliuką laikykite statmeną, nykštį laikydami ties pagrindu, antgalį – tarp dviejų pirštų.</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noProof/>
          <w:lang w:eastAsia="lt-LT"/>
        </w:rPr>
        <w:drawing>
          <wp:inline distT="0" distB="0" distL="0" distR="0" wp14:anchorId="11B3D4F5" wp14:editId="3AFD6DA8">
            <wp:extent cx="1257300" cy="1057275"/>
            <wp:effectExtent l="0" t="0" r="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6.</w:t>
      </w:r>
      <w:r w:rsidRPr="008C008F">
        <w:rPr>
          <w:rFonts w:ascii="Times New Roman" w:eastAsia="Times New Roman" w:hAnsi="Times New Roman" w:cs="Times New Roman"/>
          <w:lang w:eastAsia="ar-SA"/>
        </w:rPr>
        <w:tab/>
        <w:t>Šiek tiek pasilenkite į priekį ir įkiškite antgalį į nosies landą.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7.</w:t>
      </w:r>
      <w:r w:rsidRPr="008C008F">
        <w:rPr>
          <w:rFonts w:ascii="Times New Roman" w:eastAsia="Times New Roman" w:hAnsi="Times New Roman" w:cs="Times New Roman"/>
          <w:lang w:eastAsia="ar-SA"/>
        </w:rPr>
        <w:tab/>
        <w:t>Paspauskite pompą ir tuo pačiu metu švelniai įkvėpkite per nosį.</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noProof/>
          <w:lang w:eastAsia="lt-LT"/>
        </w:rPr>
        <w:drawing>
          <wp:inline distT="0" distB="0" distL="0" distR="0" wp14:anchorId="276497C8" wp14:editId="591F8DA6">
            <wp:extent cx="1352550" cy="11049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04900"/>
                    </a:xfrm>
                    <a:prstGeom prst="rect">
                      <a:avLst/>
                    </a:prstGeom>
                    <a:noFill/>
                    <a:ln>
                      <a:noFill/>
                    </a:ln>
                  </pic:spPr>
                </pic:pic>
              </a:graphicData>
            </a:graphic>
          </wp:inline>
        </w:drawing>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8.</w:t>
      </w:r>
      <w:r w:rsidRPr="008C008F">
        <w:rPr>
          <w:rFonts w:ascii="Times New Roman" w:eastAsia="Times New Roman" w:hAnsi="Times New Roman" w:cs="Times New Roman"/>
          <w:lang w:eastAsia="ar-SA"/>
        </w:rPr>
        <w:tab/>
        <w:t>Įpurkškite į kitą nosies landą.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9.</w:t>
      </w:r>
      <w:r w:rsidRPr="008C008F">
        <w:rPr>
          <w:rFonts w:ascii="Times New Roman" w:eastAsia="Times New Roman" w:hAnsi="Times New Roman" w:cs="Times New Roman"/>
          <w:lang w:eastAsia="ar-SA"/>
        </w:rPr>
        <w:tab/>
        <w:t>Po pavartojimo gerai nuvalykite ir nusausinkite antgalį prieš uždedant dangtelį.</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r w:rsidRPr="00B9038C">
        <w:rPr>
          <w:rFonts w:ascii="Times New Roman" w:hAnsi="Times New Roman"/>
        </w:rPr>
        <w:t>10.</w:t>
      </w:r>
      <w:r w:rsidRPr="00B9038C">
        <w:rPr>
          <w:rFonts w:ascii="Times New Roman" w:hAnsi="Times New Roman"/>
        </w:rPr>
        <w:tab/>
      </w:r>
      <w:r w:rsidRPr="008C008F">
        <w:rPr>
          <w:rFonts w:ascii="Times New Roman" w:eastAsia="Times New Roman" w:hAnsi="Times New Roman" w:cs="Times New Roman"/>
          <w:lang w:eastAsia="ar-SA"/>
        </w:rPr>
        <w:t>Kad infekcija neišplistų, viena pakuote gali naudotis tik vienas pacientas.</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b/>
          <w:bCs/>
        </w:rPr>
      </w:pPr>
      <w:r w:rsidRPr="008C008F">
        <w:rPr>
          <w:rFonts w:ascii="Times New Roman" w:eastAsia="Times New Roman" w:hAnsi="Times New Roman" w:cs="Times New Roman"/>
          <w:b/>
          <w:bCs/>
        </w:rPr>
        <w:t>Ką daryti pavartojus per didelę Otrivin Menthol dozę?</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Jei netyčia įsipurškiama medikamento per daug arba netyčia jo išgėrus, būtina nedelsiant kreiptis į gydytoją arba vaistininką.</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1296"/>
        </w:tabs>
        <w:spacing w:after="0" w:line="220" w:lineRule="exact"/>
        <w:rPr>
          <w:rFonts w:ascii="Times New Roman" w:eastAsia="Times New Roman" w:hAnsi="Times New Roman" w:cs="Times New Roman"/>
          <w:b/>
          <w:bCs/>
        </w:rPr>
      </w:pPr>
      <w:r w:rsidRPr="008C008F">
        <w:rPr>
          <w:rFonts w:ascii="Times New Roman" w:eastAsia="Times New Roman" w:hAnsi="Times New Roman" w:cs="Times New Roman"/>
          <w:b/>
          <w:bCs/>
        </w:rPr>
        <w:t>Pamiršus pavartoti Otrivin Menthol</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Negalima vartoti dvigubos dozės norint kompensuoti praleistą dozę.</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keepNext/>
        <w:keepLines/>
        <w:tabs>
          <w:tab w:val="left" w:pos="567"/>
        </w:tabs>
        <w:suppressAutoHyphens/>
        <w:spacing w:after="0" w:line="240" w:lineRule="auto"/>
        <w:outlineLvl w:val="2"/>
        <w:rPr>
          <w:rFonts w:ascii="Times New Roman" w:eastAsia="Times New Roman" w:hAnsi="Times New Roman" w:cs="Times New Roman"/>
          <w:b/>
          <w:bCs/>
          <w:lang w:eastAsia="ar-SA"/>
        </w:rPr>
      </w:pPr>
      <w:bookmarkStart w:id="8" w:name="_Toc129243142"/>
      <w:bookmarkStart w:id="9" w:name="_Toc129243267"/>
      <w:r w:rsidRPr="008C008F">
        <w:rPr>
          <w:rFonts w:ascii="Times New Roman" w:eastAsia="Times New Roman" w:hAnsi="Times New Roman" w:cs="Times New Roman"/>
          <w:b/>
          <w:bCs/>
          <w:lang w:eastAsia="ar-SA"/>
        </w:rPr>
        <w:t>4.</w:t>
      </w:r>
      <w:r w:rsidRPr="008C008F">
        <w:rPr>
          <w:rFonts w:ascii="Times New Roman" w:eastAsia="Times New Roman" w:hAnsi="Times New Roman" w:cs="Times New Roman"/>
          <w:b/>
          <w:bCs/>
          <w:lang w:eastAsia="ar-SA"/>
        </w:rPr>
        <w:tab/>
        <w:t>Galimas šalutinis poveikis</w:t>
      </w:r>
    </w:p>
    <w:bookmarkEnd w:id="8"/>
    <w:bookmarkEnd w:id="9"/>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Šis vaistas, kaip ir visi kiti, gali sukelti šalutinį poveikį, nors jis pasireiškia ne visiems žmonėms.</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NUTRAUKITE Otrivin Menthol vartojimą ir nedelsiant kreipkitės pagalbos į gydytoją, jeigu pasireiškia nors viena iš šių reakcijų, kurios gali būti alerginės reakcijos požymiai:</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ab/>
        <w:t>-</w:t>
      </w:r>
      <w:r w:rsidRPr="008C008F">
        <w:rPr>
          <w:rFonts w:ascii="Times New Roman" w:eastAsia="Times New Roman" w:hAnsi="Times New Roman" w:cs="Times New Roman"/>
          <w:lang w:eastAsia="ar-SA"/>
        </w:rPr>
        <w:tab/>
        <w:t>pasunkėjęs kvėpavimas ar rijimas;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ab/>
        <w:t>-</w:t>
      </w:r>
      <w:r w:rsidRPr="008C008F">
        <w:rPr>
          <w:rFonts w:ascii="Times New Roman" w:eastAsia="Times New Roman" w:hAnsi="Times New Roman" w:cs="Times New Roman"/>
          <w:lang w:eastAsia="ar-SA"/>
        </w:rPr>
        <w:tab/>
        <w:t>veido, lūpų, liežuvio ar gerklės patinimas;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ab/>
        <w:t>-</w:t>
      </w:r>
      <w:r w:rsidRPr="008C008F">
        <w:rPr>
          <w:rFonts w:ascii="Times New Roman" w:eastAsia="Times New Roman" w:hAnsi="Times New Roman" w:cs="Times New Roman"/>
          <w:lang w:eastAsia="ar-SA"/>
        </w:rPr>
        <w:tab/>
        <w:t>stiprus odos niežėjimas su raudonu bėrimu ar iškilimais.</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b/>
          <w:lang w:eastAsia="ar-SA"/>
        </w:rPr>
      </w:pPr>
      <w:r w:rsidRPr="008C008F">
        <w:rPr>
          <w:rFonts w:ascii="Times New Roman" w:eastAsia="Times New Roman" w:hAnsi="Times New Roman" w:cs="Times New Roman"/>
          <w:b/>
          <w:lang w:eastAsia="ar-SA"/>
        </w:rPr>
        <w:t>Dažni šalutinio poveikio reiškiniai (gali pasireikšti iki 1 iš 10 žmonių)</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Nosies gleivinės sausumas ar sudirginimas, pykinimas, galvos skausmas, deginimo pojūtis vartojimo vietoje.</w:t>
      </w:r>
    </w:p>
    <w:p w:rsidR="00890CA5"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Default="00890CA5" w:rsidP="00890CA5">
      <w:pPr>
        <w:spacing w:after="0" w:line="240" w:lineRule="auto"/>
        <w:rPr>
          <w:rFonts w:ascii="Times New Roman" w:eastAsia="Times New Roman" w:hAnsi="Times New Roman" w:cs="Times New Roman"/>
          <w:b/>
        </w:rPr>
      </w:pPr>
      <w:r>
        <w:rPr>
          <w:rFonts w:ascii="Times New Roman" w:eastAsia="Times New Roman" w:hAnsi="Times New Roman" w:cs="Times New Roman"/>
          <w:b/>
        </w:rPr>
        <w:t>Ned</w:t>
      </w:r>
      <w:r w:rsidRPr="00AD5F69">
        <w:rPr>
          <w:rFonts w:ascii="Times New Roman" w:eastAsia="Times New Roman" w:hAnsi="Times New Roman" w:cs="Times New Roman"/>
          <w:b/>
        </w:rPr>
        <w:t xml:space="preserve">ažnas šalutinis poveikis </w:t>
      </w:r>
      <w:r w:rsidRPr="001A0B16">
        <w:rPr>
          <w:rFonts w:ascii="Times New Roman" w:eastAsia="Times New Roman" w:hAnsi="Times New Roman" w:cs="Times New Roman"/>
          <w:b/>
        </w:rPr>
        <w:t>(gali pasireikšti rečiau kaip 1 iš 100 žmonių)</w:t>
      </w:r>
    </w:p>
    <w:p w:rsidR="00890CA5" w:rsidRPr="00AD5F69" w:rsidRDefault="00890CA5" w:rsidP="00890CA5">
      <w:pPr>
        <w:spacing w:after="0" w:line="240" w:lineRule="auto"/>
        <w:rPr>
          <w:rFonts w:ascii="Times New Roman" w:eastAsia="Times New Roman" w:hAnsi="Times New Roman" w:cs="Times New Roman"/>
        </w:rPr>
      </w:pPr>
      <w:r w:rsidRPr="001676A2">
        <w:rPr>
          <w:rFonts w:ascii="Times New Roman" w:eastAsia="Times New Roman" w:hAnsi="Times New Roman" w:cs="Times New Roman"/>
        </w:rPr>
        <w:t>Kraujavimas iš nosies</w:t>
      </w:r>
      <w:r>
        <w:rPr>
          <w:rFonts w:ascii="Times New Roman" w:eastAsia="Times New Roman" w:hAnsi="Times New Roman" w:cs="Times New Roman"/>
        </w:rPr>
        <w:t>.</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b/>
          <w:lang w:eastAsia="ar-SA"/>
        </w:rPr>
        <w:t>Labai reti šalutinio poveikio reiškiniai (gali pasireikšti mažiau kaip 1 iš 10 000 žmonių)</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Alerginės reakcijos (odos bėrimas, niežulys), neaiškus matymas, nereguliarus arba greitas širdies ritmas.</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b/>
          <w:snapToGrid w:val="0"/>
        </w:rPr>
      </w:pPr>
      <w:r w:rsidRPr="008C008F">
        <w:rPr>
          <w:rFonts w:ascii="Times New Roman" w:eastAsia="Times New Roman" w:hAnsi="Times New Roman" w:cs="Times New Roman"/>
          <w:b/>
          <w:noProof/>
          <w:snapToGrid w:val="0"/>
        </w:rPr>
        <w:t>Pranešimas apie šalutinį poveikį</w:t>
      </w:r>
    </w:p>
    <w:p w:rsidR="00890CA5" w:rsidRPr="008C008F" w:rsidRDefault="00890CA5" w:rsidP="00890CA5">
      <w:pPr>
        <w:tabs>
          <w:tab w:val="left" w:pos="567"/>
        </w:tabs>
        <w:spacing w:after="0" w:line="260" w:lineRule="exact"/>
        <w:ind w:right="-449"/>
        <w:rPr>
          <w:rFonts w:ascii="Times New Roman" w:eastAsia="Times New Roman" w:hAnsi="Times New Roman" w:cs="Times New Roman"/>
          <w:noProof/>
          <w:snapToGrid w:val="0"/>
        </w:rPr>
      </w:pPr>
      <w:r w:rsidRPr="008C008F">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C008F">
        <w:rPr>
          <w:rFonts w:ascii="Times New Roman" w:eastAsia="Times New Roman" w:hAnsi="Times New Roman" w:cs="Times New Roman"/>
          <w:snapToGrid w:val="0"/>
          <w:lang w:eastAsia="zh-CN"/>
        </w:rPr>
        <w:t>elefonu 8 800 73568</w:t>
      </w:r>
      <w:r w:rsidRPr="008C008F">
        <w:rPr>
          <w:rFonts w:ascii="Times New Roman" w:eastAsia="Times New Roman" w:hAnsi="Times New Roman" w:cs="Times New Roman"/>
          <w:snapToGrid w:val="0"/>
        </w:rPr>
        <w:t xml:space="preserve"> arba užpildyti interneto svetainėje </w:t>
      </w:r>
      <w:hyperlink r:id="rId8" w:history="1">
        <w:r w:rsidRPr="008C008F">
          <w:rPr>
            <w:rFonts w:ascii="Times New Roman" w:eastAsia="SimSun" w:hAnsi="Times New Roman" w:cs="Times New Roman"/>
            <w:snapToGrid w:val="0"/>
            <w:color w:val="0000FF"/>
            <w:u w:val="single"/>
          </w:rPr>
          <w:t>www.vvkt.lt</w:t>
        </w:r>
      </w:hyperlink>
      <w:r w:rsidRPr="008C008F">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8C008F">
        <w:rPr>
          <w:rFonts w:ascii="Times New Roman" w:eastAsia="Times New Roman" w:hAnsi="Times New Roman" w:cs="Times New Roman"/>
          <w:snapToGrid w:val="0"/>
          <w:lang w:eastAsia="zh-CN"/>
        </w:rPr>
        <w:t xml:space="preserve">nemokamu </w:t>
      </w:r>
      <w:r w:rsidRPr="008C008F">
        <w:rPr>
          <w:rFonts w:ascii="Times New Roman" w:eastAsia="Times New Roman" w:hAnsi="Times New Roman" w:cs="Times New Roman"/>
          <w:snapToGrid w:val="0"/>
        </w:rPr>
        <w:t>fakso numeriu 8 800 20131</w:t>
      </w:r>
      <w:r w:rsidRPr="008C008F">
        <w:rPr>
          <w:rFonts w:ascii="Times New Roman" w:eastAsia="Times New Roman" w:hAnsi="Times New Roman" w:cs="Times New Roman"/>
          <w:snapToGrid w:val="0"/>
          <w:lang w:eastAsia="zh-CN"/>
        </w:rPr>
        <w:t xml:space="preserve">, </w:t>
      </w:r>
      <w:r w:rsidRPr="008C008F">
        <w:rPr>
          <w:rFonts w:ascii="Times New Roman" w:eastAsia="Times New Roman" w:hAnsi="Times New Roman" w:cs="Times New Roman"/>
          <w:snapToGrid w:val="0"/>
        </w:rPr>
        <w:t xml:space="preserve">el. paštu </w:t>
      </w:r>
      <w:hyperlink r:id="rId9" w:history="1">
        <w:r w:rsidRPr="008C008F">
          <w:rPr>
            <w:rFonts w:ascii="Times New Roman" w:eastAsia="SimSun" w:hAnsi="Times New Roman" w:cs="Times New Roman"/>
            <w:snapToGrid w:val="0"/>
            <w:color w:val="0000FF"/>
            <w:u w:val="single"/>
          </w:rPr>
          <w:t>NepageidaujamaR@vvkt.lt</w:t>
        </w:r>
      </w:hyperlink>
      <w:r w:rsidRPr="008C008F">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10" w:history="1">
        <w:r w:rsidRPr="008C008F">
          <w:rPr>
            <w:rFonts w:ascii="Times New Roman" w:eastAsia="SimSun" w:hAnsi="Times New Roman" w:cs="Times New Roman"/>
            <w:snapToGrid w:val="0"/>
            <w:color w:val="0000FF"/>
            <w:u w:val="single"/>
          </w:rPr>
          <w:t>http://www.vvkt.lt</w:t>
        </w:r>
      </w:hyperlink>
      <w:r w:rsidRPr="008C008F">
        <w:rPr>
          <w:rFonts w:ascii="Times New Roman" w:eastAsia="Times New Roman" w:hAnsi="Times New Roman" w:cs="Times New Roman"/>
          <w:snapToGrid w:val="0"/>
        </w:rPr>
        <w:t>). Pranešdami apie šalutinį poveikį galite mums padėti gauti daugiau informacijos apie šio vaisto saugumą.</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keepNext/>
        <w:keepLines/>
        <w:tabs>
          <w:tab w:val="left" w:pos="567"/>
        </w:tabs>
        <w:suppressAutoHyphens/>
        <w:spacing w:after="0" w:line="240" w:lineRule="auto"/>
        <w:outlineLvl w:val="2"/>
        <w:rPr>
          <w:rFonts w:ascii="Times New Roman" w:eastAsia="Times New Roman" w:hAnsi="Times New Roman" w:cs="Times New Roman"/>
          <w:b/>
          <w:bCs/>
          <w:lang w:eastAsia="ar-SA"/>
        </w:rPr>
      </w:pPr>
      <w:bookmarkStart w:id="10" w:name="_Toc129243143"/>
      <w:bookmarkStart w:id="11" w:name="_Toc129243268"/>
      <w:r w:rsidRPr="008C008F">
        <w:rPr>
          <w:rFonts w:ascii="Times New Roman" w:eastAsia="Times New Roman" w:hAnsi="Times New Roman" w:cs="Times New Roman"/>
          <w:b/>
          <w:bCs/>
          <w:lang w:eastAsia="ar-SA"/>
        </w:rPr>
        <w:t>5.</w:t>
      </w:r>
      <w:r w:rsidRPr="008C008F">
        <w:rPr>
          <w:rFonts w:ascii="Times New Roman" w:eastAsia="Times New Roman" w:hAnsi="Times New Roman" w:cs="Times New Roman"/>
          <w:b/>
          <w:bCs/>
          <w:lang w:eastAsia="ar-SA"/>
        </w:rPr>
        <w:tab/>
        <w:t>Kaip laikyti Otrivin Menthol</w:t>
      </w:r>
    </w:p>
    <w:bookmarkEnd w:id="10"/>
    <w:bookmarkEnd w:id="11"/>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Šį vaistą laikykite vaikams nepastebimoje ir nepasiekiamoje vietoje.</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Laikyti ne aukštesnėje kaip 25</w:t>
      </w:r>
      <w:r w:rsidRPr="008C008F">
        <w:rPr>
          <w:rFonts w:ascii="Times New Roman" w:eastAsia="Times New Roman" w:hAnsi="Times New Roman" w:cs="Times New Roman"/>
          <w:lang w:eastAsia="ar-SA"/>
        </w:rPr>
        <w:sym w:font="Symbol" w:char="F0B0"/>
      </w:r>
      <w:r w:rsidRPr="008C008F">
        <w:rPr>
          <w:rFonts w:ascii="Times New Roman" w:eastAsia="Times New Roman" w:hAnsi="Times New Roman" w:cs="Times New Roman"/>
          <w:lang w:eastAsia="ar-SA"/>
        </w:rPr>
        <w:t> C temperatūroje.</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Ant dėžutės po „Tinka iki“ ir buteliuko po „EXP“ nurodytam tinkamumo laikui pasibaigus, šio vaisto vartoti negalima. Vaistas tinkamas vartoti iki paskutinės nurodyto mėnesio dienos.</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Vaistų negalima išmesti į kanalizaciją arba su buitinėmis atliekomis. Kaip išmesti nereikalingus vaistus, klauskite vaistininko. Šios priemonės padės apsaugoti aplinką.</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keepNext/>
        <w:keepLines/>
        <w:tabs>
          <w:tab w:val="left" w:pos="567"/>
        </w:tabs>
        <w:suppressAutoHyphens/>
        <w:spacing w:after="0" w:line="240" w:lineRule="auto"/>
        <w:outlineLvl w:val="2"/>
        <w:rPr>
          <w:rFonts w:ascii="Times New Roman" w:eastAsia="Times New Roman" w:hAnsi="Times New Roman" w:cs="Times New Roman"/>
          <w:b/>
          <w:bCs/>
          <w:lang w:eastAsia="ar-SA"/>
        </w:rPr>
      </w:pPr>
      <w:bookmarkStart w:id="12" w:name="_Toc129243144"/>
      <w:bookmarkStart w:id="13" w:name="_Toc129243269"/>
      <w:r w:rsidRPr="008C008F">
        <w:rPr>
          <w:rFonts w:ascii="Times New Roman" w:eastAsia="Times New Roman" w:hAnsi="Times New Roman" w:cs="Times New Roman"/>
          <w:b/>
          <w:bCs/>
          <w:lang w:eastAsia="ar-SA"/>
        </w:rPr>
        <w:t>6.</w:t>
      </w:r>
      <w:r w:rsidRPr="008C008F">
        <w:rPr>
          <w:rFonts w:ascii="Times New Roman" w:eastAsia="Times New Roman" w:hAnsi="Times New Roman" w:cs="Times New Roman"/>
          <w:bCs/>
          <w:lang w:eastAsia="ar-SA"/>
        </w:rPr>
        <w:tab/>
      </w:r>
      <w:r w:rsidRPr="008C008F">
        <w:rPr>
          <w:rFonts w:ascii="Times New Roman" w:eastAsia="Times New Roman" w:hAnsi="Times New Roman" w:cs="Times New Roman"/>
          <w:b/>
          <w:bCs/>
          <w:lang w:eastAsia="ar-SA"/>
        </w:rPr>
        <w:t>Pakuotės turinys ir kita informacija</w:t>
      </w:r>
    </w:p>
    <w:bookmarkEnd w:id="12"/>
    <w:bookmarkEnd w:id="13"/>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1296"/>
        </w:tabs>
        <w:spacing w:after="0" w:line="220" w:lineRule="exact"/>
        <w:rPr>
          <w:rFonts w:ascii="Times New Roman" w:eastAsia="Times New Roman" w:hAnsi="Times New Roman" w:cs="Times New Roman"/>
          <w:b/>
          <w:bCs/>
        </w:rPr>
      </w:pPr>
      <w:r w:rsidRPr="008C008F">
        <w:rPr>
          <w:rFonts w:ascii="Times New Roman" w:eastAsia="Times New Roman" w:hAnsi="Times New Roman" w:cs="Times New Roman"/>
          <w:b/>
          <w:bCs/>
        </w:rPr>
        <w:t>Otrivin Menthol sudėtis</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1E05D7" w:rsidRDefault="00890CA5" w:rsidP="00890CA5">
      <w:pPr>
        <w:numPr>
          <w:ilvl w:val="0"/>
          <w:numId w:val="5"/>
        </w:numPr>
        <w:spacing w:after="0" w:line="240" w:lineRule="auto"/>
        <w:contextualSpacing/>
        <w:rPr>
          <w:rFonts w:ascii="Times New Roman" w:eastAsia="Times New Roman" w:hAnsi="Times New Roman" w:cs="Times New Roman"/>
          <w:noProof/>
        </w:rPr>
      </w:pPr>
      <w:r w:rsidRPr="001E05D7">
        <w:rPr>
          <w:rFonts w:ascii="Times New Roman" w:eastAsia="Times New Roman" w:hAnsi="Times New Roman" w:cs="Times New Roman"/>
          <w:noProof/>
        </w:rPr>
        <w:t>Veiklioji medžiaga yra ksilometazolino hidrochloridas. 1 ml Otrivin Menthol nosies purškalo yra 1 mg ksilometazolino hidrochlorido.</w:t>
      </w:r>
    </w:p>
    <w:p w:rsidR="00890CA5" w:rsidRPr="001E05D7" w:rsidRDefault="00890CA5" w:rsidP="00890CA5">
      <w:pPr>
        <w:numPr>
          <w:ilvl w:val="0"/>
          <w:numId w:val="5"/>
        </w:numPr>
        <w:spacing w:after="0" w:line="240" w:lineRule="auto"/>
        <w:contextualSpacing/>
        <w:rPr>
          <w:rFonts w:ascii="Times New Roman" w:eastAsia="Times New Roman" w:hAnsi="Times New Roman" w:cs="Times New Roman"/>
          <w:noProof/>
        </w:rPr>
      </w:pPr>
      <w:r w:rsidRPr="001E05D7">
        <w:rPr>
          <w:rFonts w:ascii="Times New Roman" w:eastAsia="Times New Roman" w:hAnsi="Times New Roman" w:cs="Times New Roman"/>
          <w:noProof/>
        </w:rPr>
        <w:t>Pagalbinės medžiagos yra natrio-divandenilio fosfatas dihidratas, dinatrio fosfatas dodekahidratas, natrio chloridas, dinatrio edetatas, levomentolis, eukaliptolas, sorbitolis</w:t>
      </w:r>
      <w:r>
        <w:rPr>
          <w:rFonts w:ascii="Times New Roman" w:eastAsia="Times New Roman" w:hAnsi="Times New Roman" w:cs="Times New Roman"/>
          <w:noProof/>
        </w:rPr>
        <w:t xml:space="preserve"> (E 420)</w:t>
      </w:r>
      <w:r w:rsidRPr="001E05D7">
        <w:rPr>
          <w:rFonts w:ascii="Times New Roman" w:eastAsia="Times New Roman" w:hAnsi="Times New Roman" w:cs="Times New Roman"/>
          <w:noProof/>
        </w:rPr>
        <w:t>, makrogolglicerolio hidroksistearatas, išgrynintas vanduo.</w:t>
      </w:r>
    </w:p>
    <w:p w:rsidR="00890CA5" w:rsidRPr="008C008F" w:rsidRDefault="00890CA5" w:rsidP="00890CA5">
      <w:pPr>
        <w:tabs>
          <w:tab w:val="left" w:pos="567"/>
        </w:tabs>
        <w:spacing w:after="0" w:line="240" w:lineRule="auto"/>
        <w:rPr>
          <w:rFonts w:ascii="Times New Roman" w:eastAsia="Times New Roman" w:hAnsi="Times New Roman" w:cs="Times New Roman"/>
          <w:lang w:eastAsia="ar-SA"/>
        </w:rPr>
      </w:pPr>
    </w:p>
    <w:p w:rsidR="00890CA5" w:rsidRPr="008C008F" w:rsidRDefault="00890CA5" w:rsidP="00890CA5">
      <w:pPr>
        <w:tabs>
          <w:tab w:val="left" w:pos="1296"/>
        </w:tabs>
        <w:spacing w:after="0" w:line="220" w:lineRule="exact"/>
        <w:rPr>
          <w:rFonts w:ascii="Times New Roman" w:eastAsia="Times New Roman" w:hAnsi="Times New Roman" w:cs="Times New Roman"/>
          <w:b/>
          <w:bCs/>
        </w:rPr>
      </w:pPr>
      <w:r w:rsidRPr="008C008F">
        <w:rPr>
          <w:rFonts w:ascii="Times New Roman" w:eastAsia="Times New Roman" w:hAnsi="Times New Roman" w:cs="Times New Roman"/>
          <w:b/>
          <w:bCs/>
        </w:rPr>
        <w:t>Otrivin Menthol išvaizda ir kiekis pakuotėje</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r w:rsidRPr="008C008F">
        <w:rPr>
          <w:rFonts w:ascii="Times New Roman" w:eastAsia="Times New Roman" w:hAnsi="Times New Roman" w:cs="Times New Roman"/>
          <w:lang w:eastAsia="ar-SA"/>
        </w:rPr>
        <w:t>Otrivin Menthol yra skaidrus ar opalinis, bespalvis ar balkšvas skystis su mentolio ir eukaliptolo kvapu, buteliuke su dozuojamuoju purkštuku. Buteliuke yra 10 ml tirpalo.</w:t>
      </w: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jc w:val="both"/>
        <w:rPr>
          <w:rFonts w:ascii="Times New Roman" w:eastAsia="Times New Roman" w:hAnsi="Times New Roman" w:cs="Times New Roman"/>
          <w:b/>
          <w:lang w:eastAsia="ar-SA"/>
        </w:rPr>
      </w:pPr>
      <w:r w:rsidRPr="008C008F">
        <w:rPr>
          <w:rFonts w:ascii="Times New Roman" w:eastAsia="Times New Roman" w:hAnsi="Times New Roman" w:cs="Times New Roman"/>
          <w:b/>
          <w:lang w:eastAsia="ar-SA"/>
        </w:rPr>
        <w:t>Registruotojas</w:t>
      </w:r>
    </w:p>
    <w:p w:rsidR="00890CA5" w:rsidRPr="008C008F" w:rsidRDefault="00890CA5" w:rsidP="00890CA5">
      <w:pPr>
        <w:tabs>
          <w:tab w:val="left" w:pos="567"/>
        </w:tabs>
        <w:suppressAutoHyphens/>
        <w:spacing w:after="0" w:line="260" w:lineRule="exact"/>
        <w:jc w:val="both"/>
        <w:rPr>
          <w:rFonts w:ascii="Times New Roman" w:eastAsia="Calibri" w:hAnsi="Times New Roman" w:cs="Times New Roman"/>
        </w:rPr>
      </w:pPr>
      <w:r w:rsidRPr="008C008F">
        <w:rPr>
          <w:rFonts w:ascii="Times New Roman" w:eastAsia="Calibri" w:hAnsi="Times New Roman" w:cs="Times New Roman"/>
        </w:rPr>
        <w:t>GlaxoSmithKline Dungarvan Limited</w:t>
      </w:r>
    </w:p>
    <w:p w:rsidR="00890CA5" w:rsidRPr="008C008F" w:rsidRDefault="00890CA5" w:rsidP="00890CA5">
      <w:pPr>
        <w:tabs>
          <w:tab w:val="left" w:pos="567"/>
        </w:tabs>
        <w:suppressAutoHyphens/>
        <w:spacing w:after="0" w:line="260" w:lineRule="exact"/>
        <w:jc w:val="both"/>
        <w:rPr>
          <w:rFonts w:ascii="Times New Roman" w:eastAsia="Calibri" w:hAnsi="Times New Roman" w:cs="Times New Roman"/>
        </w:rPr>
      </w:pPr>
      <w:r w:rsidRPr="008C008F">
        <w:rPr>
          <w:rFonts w:ascii="Times New Roman" w:eastAsia="Calibri" w:hAnsi="Times New Roman" w:cs="Times New Roman"/>
        </w:rPr>
        <w:t>Knockbrack</w:t>
      </w:r>
    </w:p>
    <w:p w:rsidR="00890CA5" w:rsidRPr="008C008F" w:rsidRDefault="00890CA5" w:rsidP="00890CA5">
      <w:pPr>
        <w:tabs>
          <w:tab w:val="left" w:pos="567"/>
        </w:tabs>
        <w:suppressAutoHyphens/>
        <w:spacing w:after="0" w:line="260" w:lineRule="exact"/>
        <w:jc w:val="both"/>
        <w:rPr>
          <w:rFonts w:ascii="Times New Roman" w:eastAsia="Calibri" w:hAnsi="Times New Roman" w:cs="Times New Roman"/>
        </w:rPr>
      </w:pPr>
      <w:r w:rsidRPr="008C008F">
        <w:rPr>
          <w:rFonts w:ascii="Times New Roman" w:eastAsia="Calibri" w:hAnsi="Times New Roman" w:cs="Times New Roman"/>
        </w:rPr>
        <w:t>Dungarvan</w:t>
      </w:r>
    </w:p>
    <w:p w:rsidR="00890CA5" w:rsidRDefault="00890CA5" w:rsidP="00890CA5">
      <w:pPr>
        <w:tabs>
          <w:tab w:val="left" w:pos="567"/>
        </w:tabs>
        <w:suppressAutoHyphens/>
        <w:spacing w:after="0" w:line="260" w:lineRule="exact"/>
        <w:jc w:val="both"/>
        <w:rPr>
          <w:rFonts w:ascii="Times New Roman" w:eastAsia="Calibri" w:hAnsi="Times New Roman" w:cs="Times New Roman"/>
        </w:rPr>
      </w:pPr>
      <w:r w:rsidRPr="008C008F">
        <w:rPr>
          <w:rFonts w:ascii="Times New Roman" w:eastAsia="Calibri" w:hAnsi="Times New Roman" w:cs="Times New Roman"/>
        </w:rPr>
        <w:t>Co Waterford</w:t>
      </w:r>
    </w:p>
    <w:p w:rsidR="00890CA5" w:rsidRPr="008C008F" w:rsidRDefault="00890CA5" w:rsidP="00890CA5">
      <w:pPr>
        <w:spacing w:after="0" w:line="240" w:lineRule="auto"/>
        <w:rPr>
          <w:rFonts w:ascii="Times New Roman" w:eastAsia="Calibri" w:hAnsi="Times New Roman" w:cs="Times New Roman"/>
        </w:rPr>
      </w:pPr>
      <w:r w:rsidRPr="008C008F">
        <w:rPr>
          <w:rFonts w:ascii="Times New Roman" w:eastAsia="Calibri" w:hAnsi="Times New Roman" w:cs="Times New Roman"/>
        </w:rPr>
        <w:t>Airija</w:t>
      </w:r>
    </w:p>
    <w:p w:rsidR="00890CA5" w:rsidRPr="008C008F" w:rsidRDefault="00890CA5" w:rsidP="00890CA5">
      <w:pPr>
        <w:tabs>
          <w:tab w:val="left" w:pos="567"/>
        </w:tabs>
        <w:suppressAutoHyphens/>
        <w:spacing w:after="0" w:line="260" w:lineRule="exact"/>
        <w:ind w:left="567" w:hanging="567"/>
        <w:jc w:val="both"/>
        <w:rPr>
          <w:rFonts w:ascii="Times New Roman" w:eastAsia="Times New Roman" w:hAnsi="Times New Roman" w:cs="Times New Roman"/>
          <w:lang w:eastAsia="ar-SA"/>
        </w:rPr>
      </w:pPr>
    </w:p>
    <w:p w:rsidR="00890CA5" w:rsidRPr="00B9038C" w:rsidRDefault="00890CA5" w:rsidP="00890CA5">
      <w:pPr>
        <w:tabs>
          <w:tab w:val="left" w:pos="567"/>
        </w:tabs>
        <w:suppressAutoHyphens/>
        <w:spacing w:after="0" w:line="260" w:lineRule="exact"/>
        <w:ind w:left="567" w:hanging="567"/>
        <w:jc w:val="both"/>
        <w:rPr>
          <w:rFonts w:ascii="Times New Roman" w:hAnsi="Times New Roman"/>
        </w:rPr>
      </w:pPr>
      <w:r w:rsidRPr="008C008F">
        <w:rPr>
          <w:rFonts w:ascii="Times New Roman" w:eastAsia="Times New Roman" w:hAnsi="Times New Roman" w:cs="Times New Roman"/>
          <w:b/>
          <w:bCs/>
          <w:lang w:eastAsia="ar-SA"/>
        </w:rPr>
        <w:t>Gamintojas</w:t>
      </w:r>
    </w:p>
    <w:p w:rsidR="00890CA5" w:rsidRPr="008C008F" w:rsidRDefault="00890CA5" w:rsidP="00890CA5">
      <w:pPr>
        <w:spacing w:after="0" w:line="240" w:lineRule="auto"/>
        <w:rPr>
          <w:rFonts w:ascii="Times New Roman" w:eastAsia="Times New Roman" w:hAnsi="Times New Roman" w:cs="Times New Roman"/>
        </w:rPr>
      </w:pPr>
      <w:r w:rsidRPr="008C008F">
        <w:rPr>
          <w:rFonts w:ascii="Times New Roman" w:eastAsia="Times New Roman" w:hAnsi="Times New Roman" w:cs="Times New Roman"/>
        </w:rPr>
        <w:t>GlaxoSmithKline Consumer Healthcare GmbH &amp; Co. KG</w:t>
      </w:r>
    </w:p>
    <w:p w:rsidR="00890CA5" w:rsidRPr="008C008F" w:rsidRDefault="00890CA5" w:rsidP="00890CA5">
      <w:pPr>
        <w:spacing w:after="0" w:line="240" w:lineRule="auto"/>
        <w:rPr>
          <w:rFonts w:ascii="Times New Roman" w:eastAsia="Times New Roman" w:hAnsi="Times New Roman" w:cs="Times New Roman"/>
        </w:rPr>
      </w:pPr>
      <w:r w:rsidRPr="008C008F">
        <w:rPr>
          <w:rFonts w:ascii="Times New Roman" w:eastAsia="Times New Roman" w:hAnsi="Times New Roman" w:cs="Times New Roman"/>
        </w:rPr>
        <w:t>Barthstraße 4</w:t>
      </w:r>
    </w:p>
    <w:p w:rsidR="00890CA5" w:rsidRDefault="00890CA5" w:rsidP="00890CA5">
      <w:pPr>
        <w:spacing w:after="0" w:line="240" w:lineRule="auto"/>
        <w:rPr>
          <w:rFonts w:ascii="Times New Roman" w:eastAsia="Times New Roman" w:hAnsi="Times New Roman" w:cs="Times New Roman"/>
        </w:rPr>
      </w:pPr>
      <w:r w:rsidRPr="008C008F">
        <w:rPr>
          <w:rFonts w:ascii="Times New Roman" w:eastAsia="Times New Roman" w:hAnsi="Times New Roman" w:cs="Times New Roman"/>
        </w:rPr>
        <w:t>80339 München,</w:t>
      </w:r>
    </w:p>
    <w:p w:rsidR="00890CA5" w:rsidRPr="008C008F" w:rsidRDefault="00890CA5" w:rsidP="00890CA5">
      <w:pPr>
        <w:spacing w:after="0" w:line="240" w:lineRule="auto"/>
        <w:rPr>
          <w:rFonts w:ascii="Times New Roman" w:eastAsia="Times New Roman" w:hAnsi="Times New Roman" w:cs="Times New Roman"/>
        </w:rPr>
      </w:pPr>
      <w:r w:rsidRPr="008C008F">
        <w:rPr>
          <w:rFonts w:ascii="Times New Roman" w:eastAsia="Times New Roman" w:hAnsi="Times New Roman" w:cs="Times New Roman"/>
        </w:rPr>
        <w:t>Vokietija</w:t>
      </w:r>
    </w:p>
    <w:p w:rsidR="00890CA5" w:rsidRPr="008C008F" w:rsidRDefault="00890CA5" w:rsidP="00890CA5">
      <w:pPr>
        <w:tabs>
          <w:tab w:val="left" w:pos="567"/>
        </w:tabs>
        <w:suppressAutoHyphens/>
        <w:spacing w:after="0" w:line="260" w:lineRule="exact"/>
        <w:ind w:left="567" w:hanging="567"/>
        <w:jc w:val="both"/>
        <w:rPr>
          <w:rFonts w:ascii="Times New Roman" w:eastAsia="Times New Roman" w:hAnsi="Times New Roman" w:cs="Times New Roman"/>
          <w:lang w:eastAsia="ar-SA"/>
        </w:rPr>
      </w:pPr>
    </w:p>
    <w:p w:rsidR="00890CA5" w:rsidRPr="008C008F" w:rsidRDefault="00890CA5" w:rsidP="00890CA5">
      <w:pPr>
        <w:tabs>
          <w:tab w:val="left" w:pos="567"/>
        </w:tabs>
        <w:spacing w:after="0" w:line="240" w:lineRule="auto"/>
        <w:jc w:val="both"/>
        <w:rPr>
          <w:rFonts w:ascii="Times New Roman" w:eastAsia="Times New Roman" w:hAnsi="Times New Roman" w:cs="Times New Roman"/>
          <w:lang w:eastAsia="ar-SA"/>
        </w:rPr>
      </w:pPr>
    </w:p>
    <w:p w:rsidR="00890CA5" w:rsidRPr="008C008F" w:rsidRDefault="00890CA5" w:rsidP="00890CA5">
      <w:pPr>
        <w:tabs>
          <w:tab w:val="left" w:pos="1296"/>
        </w:tabs>
        <w:spacing w:after="0" w:line="240" w:lineRule="auto"/>
        <w:rPr>
          <w:rFonts w:ascii="Times New Roman" w:eastAsia="Times New Roman" w:hAnsi="Times New Roman" w:cs="Times New Roman"/>
          <w:b/>
        </w:rPr>
      </w:pPr>
      <w:r w:rsidRPr="008C008F">
        <w:rPr>
          <w:rFonts w:ascii="Times New Roman" w:eastAsia="Times New Roman" w:hAnsi="Times New Roman" w:cs="Times New Roman"/>
          <w:b/>
          <w:bCs/>
        </w:rPr>
        <w:t>Šis pakuotės lapelis</w:t>
      </w:r>
      <w:r w:rsidRPr="008C008F">
        <w:rPr>
          <w:rFonts w:ascii="Times New Roman" w:eastAsia="Times New Roman" w:hAnsi="Times New Roman" w:cs="Times New Roman"/>
          <w:b/>
        </w:rPr>
        <w:t xml:space="preserve"> paskutinį kartą peržiūrėtas </w:t>
      </w:r>
      <w:r w:rsidRPr="00B9038C">
        <w:rPr>
          <w:rFonts w:ascii="Times New Roman" w:eastAsia="Times New Roman" w:hAnsi="Times New Roman" w:cs="Times New Roman"/>
          <w:b/>
        </w:rPr>
        <w:t>2021-0</w:t>
      </w:r>
      <w:r w:rsidRPr="002B4AE0">
        <w:rPr>
          <w:rFonts w:ascii="Times New Roman" w:eastAsia="Times New Roman" w:hAnsi="Times New Roman" w:cs="Times New Roman"/>
          <w:b/>
        </w:rPr>
        <w:t>5</w:t>
      </w:r>
      <w:r w:rsidRPr="00B9038C">
        <w:rPr>
          <w:rFonts w:ascii="Times New Roman" w:eastAsia="Times New Roman" w:hAnsi="Times New Roman" w:cs="Times New Roman"/>
          <w:b/>
        </w:rPr>
        <w:t>-</w:t>
      </w:r>
      <w:r>
        <w:rPr>
          <w:rFonts w:ascii="Times New Roman" w:eastAsia="Times New Roman" w:hAnsi="Times New Roman" w:cs="Times New Roman"/>
          <w:b/>
        </w:rPr>
        <w:t>13</w:t>
      </w:r>
      <w:r w:rsidRPr="006713DB">
        <w:rPr>
          <w:rFonts w:ascii="Times New Roman" w:eastAsia="Times New Roman" w:hAnsi="Times New Roman" w:cs="Times New Roman"/>
          <w:b/>
        </w:rPr>
        <w:t>.</w:t>
      </w: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tabs>
          <w:tab w:val="left" w:pos="567"/>
        </w:tabs>
        <w:suppressAutoHyphens/>
        <w:spacing w:after="0" w:line="260" w:lineRule="exact"/>
        <w:rPr>
          <w:rFonts w:ascii="Times New Roman" w:eastAsia="Times New Roman" w:hAnsi="Times New Roman" w:cs="Times New Roman"/>
          <w:lang w:eastAsia="ar-SA"/>
        </w:rPr>
      </w:pPr>
    </w:p>
    <w:p w:rsidR="00890CA5" w:rsidRPr="008C008F" w:rsidRDefault="00890CA5" w:rsidP="00890CA5">
      <w:pPr>
        <w:numPr>
          <w:ilvl w:val="12"/>
          <w:numId w:val="0"/>
        </w:numPr>
        <w:tabs>
          <w:tab w:val="left" w:pos="567"/>
        </w:tabs>
        <w:spacing w:after="0" w:line="240" w:lineRule="auto"/>
        <w:ind w:right="-2"/>
        <w:rPr>
          <w:rFonts w:ascii="Times New Roman" w:eastAsia="Times New Roman" w:hAnsi="Times New Roman" w:cs="Times New Roman"/>
          <w:snapToGrid w:val="0"/>
        </w:rPr>
      </w:pPr>
      <w:r w:rsidRPr="008C008F">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8C008F">
        <w:rPr>
          <w:rFonts w:ascii="Times New Roman" w:eastAsia="Times New Roman" w:hAnsi="Times New Roman" w:cs="Times New Roman"/>
          <w:i/>
          <w:snapToGrid w:val="0"/>
        </w:rPr>
        <w:t xml:space="preserve"> </w:t>
      </w:r>
      <w:hyperlink r:id="rId11" w:history="1">
        <w:r w:rsidRPr="008C008F">
          <w:rPr>
            <w:rFonts w:ascii="Times New Roman" w:eastAsia="SimSun" w:hAnsi="Times New Roman" w:cs="Times New Roman"/>
            <w:snapToGrid w:val="0"/>
            <w:u w:val="single"/>
          </w:rPr>
          <w:t>http://www.vvkt.lt/</w:t>
        </w:r>
      </w:hyperlink>
      <w:r w:rsidRPr="008C008F">
        <w:rPr>
          <w:rFonts w:ascii="Times New Roman" w:eastAsia="Times New Roman" w:hAnsi="Times New Roman" w:cs="Times New Roman"/>
          <w:snapToGrid w:val="0"/>
        </w:rPr>
        <w:t>.</w:t>
      </w:r>
    </w:p>
    <w:p w:rsidR="00890CA5" w:rsidRDefault="00890CA5"/>
    <w:sectPr w:rsidR="00890CA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E9"/>
    <w:multiLevelType w:val="hybridMultilevel"/>
    <w:tmpl w:val="6FDCE736"/>
    <w:lvl w:ilvl="0" w:tplc="8D1E54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356DD"/>
    <w:multiLevelType w:val="hybridMultilevel"/>
    <w:tmpl w:val="47A2A15C"/>
    <w:lvl w:ilvl="0" w:tplc="8D1E5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7E2"/>
    <w:multiLevelType w:val="hybridMultilevel"/>
    <w:tmpl w:val="368CECF4"/>
    <w:lvl w:ilvl="0" w:tplc="8D1E5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F2843"/>
    <w:multiLevelType w:val="hybridMultilevel"/>
    <w:tmpl w:val="7A1AA604"/>
    <w:lvl w:ilvl="0" w:tplc="8D1E54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114F13"/>
    <w:multiLevelType w:val="hybridMultilevel"/>
    <w:tmpl w:val="C7CEA23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A5"/>
    <w:rsid w:val="008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6B485-8840-482A-BAA7-D2244E6D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A5"/>
    <w:pPr>
      <w:spacing w:after="0" w:line="240" w:lineRule="auto"/>
      <w:ind w:left="720"/>
      <w:contextualSpacing/>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2021-07-13T13:19:00Z</dcterms:created>
  <dcterms:modified xsi:type="dcterms:W3CDTF">2021-07-13T13:19:00Z</dcterms:modified>
</cp:coreProperties>
</file>