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478" w:rsidRPr="007738F0" w:rsidRDefault="00CF7478" w:rsidP="00CF7478">
      <w:pPr>
        <w:tabs>
          <w:tab w:val="left" w:pos="567"/>
        </w:tabs>
        <w:spacing w:after="0" w:line="240" w:lineRule="auto"/>
        <w:jc w:val="center"/>
        <w:rPr>
          <w:rFonts w:ascii="Times New Roman" w:eastAsia="Times New Roman" w:hAnsi="Times New Roman" w:cs="Times New Roman"/>
          <w:b/>
          <w:lang w:eastAsia="x-none"/>
        </w:rPr>
      </w:pPr>
      <w:r w:rsidRPr="007738F0">
        <w:rPr>
          <w:rFonts w:ascii="Times New Roman" w:eastAsia="Times New Roman" w:hAnsi="Times New Roman" w:cs="Times New Roman"/>
          <w:b/>
          <w:bCs/>
          <w:iCs/>
          <w:lang w:eastAsia="x-none"/>
        </w:rPr>
        <w:t>Pakuotės lapelis:</w:t>
      </w:r>
      <w:r w:rsidRPr="007738F0">
        <w:rPr>
          <w:rFonts w:ascii="Times New Roman" w:eastAsia="Times New Roman" w:hAnsi="Times New Roman" w:cs="Times New Roman"/>
          <w:b/>
          <w:lang w:eastAsia="x-none"/>
        </w:rPr>
        <w:t xml:space="preserve"> </w:t>
      </w:r>
      <w:r w:rsidRPr="007738F0">
        <w:rPr>
          <w:rFonts w:ascii="Times New Roman" w:eastAsia="Times New Roman" w:hAnsi="Times New Roman" w:cs="Times New Roman"/>
          <w:b/>
          <w:bCs/>
          <w:iCs/>
          <w:lang w:eastAsia="x-none"/>
        </w:rPr>
        <w:t>informacija vartotojui</w:t>
      </w:r>
    </w:p>
    <w:p w:rsidR="00CF7478" w:rsidRPr="007738F0" w:rsidRDefault="00CF7478" w:rsidP="00CF7478">
      <w:pPr>
        <w:tabs>
          <w:tab w:val="left" w:pos="567"/>
        </w:tabs>
        <w:spacing w:after="0" w:line="240" w:lineRule="auto"/>
        <w:rPr>
          <w:rFonts w:ascii="Times New Roman" w:eastAsia="Times New Roman" w:hAnsi="Times New Roman" w:cs="Times New Roman"/>
          <w:b/>
          <w:lang w:eastAsia="lt-LT"/>
        </w:rPr>
      </w:pPr>
    </w:p>
    <w:p w:rsidR="00CF7478" w:rsidRPr="007738F0" w:rsidRDefault="00CF7478" w:rsidP="00CF7478">
      <w:pPr>
        <w:tabs>
          <w:tab w:val="left" w:pos="567"/>
        </w:tabs>
        <w:spacing w:after="0" w:line="240" w:lineRule="auto"/>
        <w:jc w:val="center"/>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Mannitol Fresenius 10 % infuzinis tirpalas</w:t>
      </w:r>
    </w:p>
    <w:p w:rsidR="00CF7478" w:rsidRPr="007738F0" w:rsidRDefault="00CF7478" w:rsidP="00CF7478">
      <w:pPr>
        <w:tabs>
          <w:tab w:val="left" w:pos="567"/>
        </w:tabs>
        <w:spacing w:after="0" w:line="240" w:lineRule="auto"/>
        <w:jc w:val="center"/>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Manitolis</w:t>
      </w:r>
    </w:p>
    <w:p w:rsidR="00CF7478" w:rsidRPr="007738F0" w:rsidRDefault="00CF7478" w:rsidP="00CF7478">
      <w:pPr>
        <w:tabs>
          <w:tab w:val="left" w:pos="567"/>
        </w:tabs>
        <w:spacing w:after="0" w:line="240" w:lineRule="auto"/>
        <w:jc w:val="center"/>
        <w:rPr>
          <w:rFonts w:ascii="Times New Roman" w:eastAsia="Times New Roman" w:hAnsi="Times New Roman" w:cs="Times New Roman"/>
          <w:lang w:eastAsia="lt-LT"/>
        </w:rPr>
      </w:pPr>
    </w:p>
    <w:p w:rsidR="00CF7478" w:rsidRPr="0026184C" w:rsidRDefault="00CF7478" w:rsidP="00CF7478">
      <w:pPr>
        <w:suppressAutoHyphens/>
        <w:spacing w:after="0" w:line="240" w:lineRule="auto"/>
        <w:rPr>
          <w:rFonts w:ascii="Times New Roman" w:eastAsia="Times New Roman" w:hAnsi="Times New Roman" w:cs="Times New Roman"/>
          <w:snapToGrid w:val="0"/>
          <w:szCs w:val="24"/>
        </w:rPr>
      </w:pPr>
      <w:r w:rsidRPr="0026184C">
        <w:rPr>
          <w:rFonts w:ascii="Times New Roman" w:eastAsia="Times New Roman" w:hAnsi="Times New Roman" w:cs="Times New Roman"/>
          <w:b/>
          <w:noProof/>
          <w:snapToGrid w:val="0"/>
          <w:szCs w:val="24"/>
        </w:rPr>
        <w:t>Atidžiai perskaitykite visą šį lapelį, prieš pradėdami vartoti vaistą, nes jame pateikiama Jums svarbi informacija.</w:t>
      </w:r>
    </w:p>
    <w:p w:rsidR="00CF7478" w:rsidRPr="007738F0" w:rsidRDefault="00CF7478" w:rsidP="00CF7478">
      <w:pPr>
        <w:tabs>
          <w:tab w:val="left" w:pos="567"/>
        </w:tabs>
        <w:spacing w:after="0" w:line="240" w:lineRule="auto"/>
        <w:jc w:val="both"/>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Neišmeskite šio lapelio, nes vėl gali prireikti jį perskaityti.</w:t>
      </w:r>
    </w:p>
    <w:p w:rsidR="00CF7478" w:rsidRPr="007738F0" w:rsidRDefault="00CF7478" w:rsidP="00CF7478">
      <w:pPr>
        <w:tabs>
          <w:tab w:val="left" w:pos="567"/>
        </w:tabs>
        <w:spacing w:after="0" w:line="240" w:lineRule="auto"/>
        <w:jc w:val="both"/>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kiltų daugiau klausimų, kreipkitės į gydytoją arba vaistininką.</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Šis vaistas skirtas tik Jums, todėl kitiems žmonėms jo duoti negalima. Vaistas gali jiems pakenkti (net tiems, kurių ligos požymiai yra tokie patys kaip Jūsų).</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pasireiškė šalutinis poveikis (net jeigu jis šiame lapelyje nenurodytas), kreipkitės į gydytoją arba vaistininką. Žr. 4 skyrių.</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keepNext/>
        <w:tabs>
          <w:tab w:val="left" w:pos="567"/>
        </w:tabs>
        <w:spacing w:after="0" w:line="260" w:lineRule="exact"/>
        <w:jc w:val="both"/>
        <w:outlineLvl w:val="3"/>
        <w:rPr>
          <w:rFonts w:ascii="Times New Roman" w:eastAsia="Times New Roman" w:hAnsi="Times New Roman" w:cs="Times New Roman"/>
          <w:b/>
          <w:bCs/>
          <w:snapToGrid w:val="0"/>
          <w:szCs w:val="28"/>
          <w:lang w:eastAsia="x-none"/>
        </w:rPr>
      </w:pPr>
      <w:r w:rsidRPr="0026184C">
        <w:rPr>
          <w:rFonts w:ascii="Times New Roman" w:eastAsia="Times New Roman" w:hAnsi="Times New Roman" w:cs="Times New Roman"/>
          <w:b/>
          <w:bCs/>
          <w:snapToGrid w:val="0"/>
          <w:szCs w:val="28"/>
          <w:lang w:eastAsia="x-none"/>
        </w:rPr>
        <w:t>Apie ką rašoma šiame lapelyje?</w:t>
      </w:r>
    </w:p>
    <w:p w:rsidR="00CF7478" w:rsidRPr="0026184C" w:rsidRDefault="00CF7478" w:rsidP="00CF7478">
      <w:pPr>
        <w:keepNext/>
        <w:tabs>
          <w:tab w:val="left" w:pos="567"/>
        </w:tabs>
        <w:spacing w:after="0" w:line="260" w:lineRule="exact"/>
        <w:jc w:val="both"/>
        <w:outlineLvl w:val="3"/>
        <w:rPr>
          <w:rFonts w:ascii="Times New Roman" w:eastAsia="Times New Roman" w:hAnsi="Times New Roman" w:cs="Times New Roman"/>
          <w:b/>
          <w:bCs/>
          <w:snapToGrid w:val="0"/>
          <w:szCs w:val="28"/>
          <w:lang w:eastAsia="x-none"/>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1.</w:t>
      </w:r>
      <w:r w:rsidRPr="007738F0">
        <w:rPr>
          <w:rFonts w:ascii="Times New Roman" w:eastAsia="Times New Roman" w:hAnsi="Times New Roman" w:cs="Times New Roman"/>
          <w:lang w:eastAsia="lt-LT"/>
        </w:rPr>
        <w:tab/>
        <w:t>Kas yra Mannitol Fresenius ir kam jis vartojamas</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2.</w:t>
      </w:r>
      <w:r w:rsidRPr="007738F0">
        <w:rPr>
          <w:rFonts w:ascii="Times New Roman" w:eastAsia="Times New Roman" w:hAnsi="Times New Roman" w:cs="Times New Roman"/>
          <w:lang w:eastAsia="lt-LT"/>
        </w:rPr>
        <w:tab/>
        <w:t>Kas žinotina prieš vartojant Mannitol Fresenius</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3.</w:t>
      </w:r>
      <w:r w:rsidRPr="007738F0">
        <w:rPr>
          <w:rFonts w:ascii="Times New Roman" w:eastAsia="Times New Roman" w:hAnsi="Times New Roman" w:cs="Times New Roman"/>
          <w:lang w:eastAsia="lt-LT"/>
        </w:rPr>
        <w:tab/>
        <w:t>Kaip vartoti Mannitol Fresenius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4.</w:t>
      </w:r>
      <w:r w:rsidRPr="007738F0">
        <w:rPr>
          <w:rFonts w:ascii="Times New Roman" w:eastAsia="Times New Roman" w:hAnsi="Times New Roman" w:cs="Times New Roman"/>
          <w:lang w:eastAsia="lt-LT"/>
        </w:rPr>
        <w:tab/>
        <w:t>Galimas šalutinis poveikis</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5.</w:t>
      </w:r>
      <w:r w:rsidRPr="007738F0">
        <w:rPr>
          <w:rFonts w:ascii="Times New Roman" w:eastAsia="Times New Roman" w:hAnsi="Times New Roman" w:cs="Times New Roman"/>
          <w:lang w:eastAsia="lt-LT"/>
        </w:rPr>
        <w:tab/>
        <w:t>Kaip laikyti Mannitol Fresenius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6.</w:t>
      </w:r>
      <w:r w:rsidRPr="007738F0">
        <w:rPr>
          <w:rFonts w:ascii="Times New Roman" w:eastAsia="Times New Roman" w:hAnsi="Times New Roman" w:cs="Times New Roman"/>
          <w:lang w:eastAsia="lt-LT"/>
        </w:rPr>
        <w:tab/>
        <w:t>Pakuotės turinys ir kita informacija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1.</w:t>
      </w:r>
      <w:r w:rsidRPr="007738F0">
        <w:rPr>
          <w:rFonts w:ascii="Times New Roman" w:eastAsia="Times New Roman" w:hAnsi="Times New Roman" w:cs="Times New Roman"/>
          <w:b/>
          <w:lang w:eastAsia="lt-LT"/>
        </w:rPr>
        <w:tab/>
        <w:t>Kas yra Mannitol Fresenius ir kam jis vartojamas</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Manitolis yra osmosinis diuretikas (šlapimą varantis vaistas).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Infuzavus manitolio, padidėja plazmos osmosinis slėgis, todėl akies kameros, smegenų bei kitų audinių skystis difunduoja į plazmą. Prasideda audinių dehidracija (audiniuose mažėja skysčių), mažėja intrakranijinis (vidinis kaukolės) ir akies kameros skysčio spaudimas. Patekęs į inkstų glomerulus, manitolis filtruojamas į pirminį šlapimą ir dėl to padidina osmosinį jo slėgį. Kadangi inkstų kanalėliuose manitolio reabsorbuojama mažai, todėl sumažėja vandens, natrio, chloro ir kitų elektrolitų reabsorbcija, daugiau išsiskiria šlapimo.</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100 mg/ml manitolio tirpalas vartojamas diurezei stiprinti apsinuodijus medžiagomis (ličio preparatais, salicilatais, barbitūratas ir kt.), kurios išsiskiria pro inkstus.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2.</w:t>
      </w:r>
      <w:r w:rsidRPr="007738F0">
        <w:rPr>
          <w:rFonts w:ascii="Times New Roman" w:eastAsia="Times New Roman" w:hAnsi="Times New Roman" w:cs="Times New Roman"/>
          <w:b/>
          <w:lang w:eastAsia="lt-LT"/>
        </w:rPr>
        <w:tab/>
        <w:t>Kas žinotina prieš vartojant Mannitol Fresenius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b/>
          <w:lang w:eastAsia="lt-LT"/>
        </w:rPr>
        <w:t>Mannitol Fresenius  vartoti negalima:</w:t>
      </w:r>
    </w:p>
    <w:p w:rsidR="00CF7478" w:rsidRPr="007738F0" w:rsidRDefault="00CF7478" w:rsidP="00CF7478">
      <w:pPr>
        <w:tabs>
          <w:tab w:val="left" w:pos="567"/>
        </w:tabs>
        <w:spacing w:after="0" w:line="240" w:lineRule="auto"/>
        <w:ind w:left="567" w:hanging="567"/>
        <w:jc w:val="both"/>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yra alergija manitoliui arba bet kuriai pagalbinei šio vaisto medžiagai;</w:t>
      </w:r>
    </w:p>
    <w:p w:rsidR="00CF7478" w:rsidRPr="007738F0" w:rsidRDefault="00CF7478" w:rsidP="00CF7478">
      <w:pPr>
        <w:tabs>
          <w:tab w:val="left" w:pos="567"/>
        </w:tabs>
        <w:spacing w:after="0" w:line="240" w:lineRule="auto"/>
        <w:ind w:left="567" w:hanging="567"/>
        <w:jc w:val="both"/>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yra pernelyg didelis osmosinis slėgis;</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yra anurija (šlapimo neišsiskyrimas), susijusi su ūmine inkstų kanalėlių nekroze, sukelta sunkios inkstų ligos;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pasireiškė stazinis širdies nepakankamumas;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yra plaučių edema (pabrinkimas);</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yra didelė dehidracija (vandens netekimas), acidozė (organizmo skysčių parūgštėjimas);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jeigu yra intrakranijinis (kaukolės vidaus) kraujavimas.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tabs>
          <w:tab w:val="left" w:pos="567"/>
        </w:tabs>
        <w:spacing w:after="0" w:line="240" w:lineRule="auto"/>
        <w:rPr>
          <w:rFonts w:ascii="Times New Roman" w:eastAsia="Times New Roman" w:hAnsi="Times New Roman" w:cs="Times New Roman"/>
          <w:b/>
          <w:bCs/>
          <w:lang w:eastAsia="lt-LT"/>
        </w:rPr>
      </w:pPr>
      <w:r w:rsidRPr="0026184C">
        <w:rPr>
          <w:rFonts w:ascii="Times New Roman" w:eastAsia="Times New Roman" w:hAnsi="Times New Roman" w:cs="Times New Roman"/>
          <w:b/>
          <w:bCs/>
          <w:lang w:eastAsia="lt-LT"/>
        </w:rPr>
        <w:t>Įspėjimai ir atsargumo priemonės</w:t>
      </w:r>
    </w:p>
    <w:p w:rsidR="00CF7478" w:rsidRPr="0026184C" w:rsidRDefault="00CF7478" w:rsidP="00CF7478">
      <w:pPr>
        <w:tabs>
          <w:tab w:val="left" w:pos="567"/>
        </w:tabs>
        <w:spacing w:after="0" w:line="240" w:lineRule="auto"/>
        <w:rPr>
          <w:rFonts w:ascii="Times New Roman" w:eastAsia="Times New Roman" w:hAnsi="Times New Roman" w:cs="Times New Roman"/>
          <w:bCs/>
          <w:lang w:eastAsia="lt-LT"/>
        </w:rPr>
      </w:pPr>
      <w:r w:rsidRPr="0026184C">
        <w:rPr>
          <w:rFonts w:ascii="Times New Roman" w:eastAsia="Times New Roman" w:hAnsi="Times New Roman" w:cs="Times New Roman"/>
          <w:bCs/>
          <w:lang w:eastAsia="lt-LT"/>
        </w:rPr>
        <w:t>Pasitarkite su gydytoju arba vaistininku, prieš pradė</w:t>
      </w:r>
      <w:r w:rsidRPr="007738F0">
        <w:rPr>
          <w:rFonts w:ascii="Times New Roman" w:eastAsia="Times New Roman" w:hAnsi="Times New Roman" w:cs="Times New Roman"/>
          <w:bCs/>
          <w:lang w:eastAsia="lt-LT"/>
        </w:rPr>
        <w:t>dami vartoti Mannitol Fresenius: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prieš vartojant manitolio, būtina įsitikinti, ar nepadidėjęs paciento jautrumas manitoliui;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prieš pradedant gydyti manitolio infuzijomis, būtina ištirti paciento inkstų funkciją;</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manitolio galima leisti tik tada, kai inkstų funkcija ir šlapimo išskyrimas yra pakankami.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Gydymo manitoliu laikotarpiu būtina sekti kraujo plazmos osmosinį slėgį, inkstų funkciją, šlapimo išsiskyrimą, skysčių kiekį organizme, natrio ir kalio kiekį kraujo serume bei spaudimą centrinėje venoje.</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Jeigu nepakankamai išsiskiria šlapimo arba greitai suleidžiama didelė dozė, dėl susikaupusio manitolio gali per daug padidėti ekstraląstelinio (esančio ne ląstelėse) skysčio kiekis.</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Jeigu šlapimo išsiskyrimas mažėja, manitolio infuziją reikia nutraukti ir pacientą ištirti.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Prieš infuziją reikia gerai ištirti paciento širdies ir kraujagyslių sistemą, o infuzijos metu ją nuolat sekti.</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Jeigu padidėja spaudimas centrinėje venoje arba atsiranda kitokių cirkuliuojančio skysčio pertekliaus požymių, pvz., pasireiškia plaučių edema, atsiranda intoksikacijos vandeniu simptomų, staiga prasideda sunkus stazinis širdies nepakankamumas, ypač pacientams, kurių širdies rezervas yra sumažėjęs, infuziją reikia sulėtinti arba nutraukti.</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Skysčių perteklių galima sumažinti dialize arba diuretikais (šlapimo išsiskyrimą skatinančiais vaistais).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Dėl manitoliu sukeliamos nuolatinės diurezės hidracija (organizmo skysčių kiekis) gali tapti nepakankama arba pasireikšti hipovolemija (kraujo tūrio sumažėjimas). Pasireiškus hipovolemijai, sumažėja glomerulų filtracijos greitis, padidėja natrio ir vandens reabsorbcija, todėl skatinama oligurija (mažas šlapimo kiekis).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Reikia saugoti, kad preparato nepatektų šalia venos, kadangi gali pasireikšti lokali edema ar net odos nekrozė.</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166175" w:rsidRDefault="00CF7478" w:rsidP="00CF7478">
      <w:pPr>
        <w:tabs>
          <w:tab w:val="left" w:pos="567"/>
        </w:tabs>
        <w:spacing w:after="0" w:line="240" w:lineRule="auto"/>
        <w:rPr>
          <w:rFonts w:ascii="Times New Roman" w:eastAsia="Times New Roman" w:hAnsi="Times New Roman" w:cs="Times New Roman"/>
          <w:b/>
          <w:bCs/>
          <w:lang w:eastAsia="lt-LT"/>
        </w:rPr>
      </w:pPr>
      <w:r w:rsidRPr="00166175">
        <w:rPr>
          <w:rFonts w:ascii="Times New Roman" w:eastAsia="Times New Roman" w:hAnsi="Times New Roman" w:cs="Times New Roman"/>
          <w:b/>
          <w:bCs/>
          <w:lang w:eastAsia="lt-LT"/>
        </w:rPr>
        <w:t>Kiti vaistai ir Mannitol Fresenius</w:t>
      </w:r>
    </w:p>
    <w:p w:rsidR="00CF7478" w:rsidRPr="00166175" w:rsidRDefault="00CF7478" w:rsidP="00CF7478">
      <w:pPr>
        <w:numPr>
          <w:ilvl w:val="12"/>
          <w:numId w:val="0"/>
        </w:numPr>
        <w:spacing w:after="0" w:line="240" w:lineRule="auto"/>
        <w:ind w:right="-2"/>
        <w:rPr>
          <w:rFonts w:ascii="Times New Roman" w:eastAsia="Times New Roman" w:hAnsi="Times New Roman" w:cs="Times New Roman"/>
          <w:snapToGrid w:val="0"/>
          <w:szCs w:val="24"/>
        </w:rPr>
      </w:pPr>
      <w:r w:rsidRPr="00166175">
        <w:rPr>
          <w:rFonts w:ascii="Times New Roman" w:eastAsia="Times New Roman" w:hAnsi="Times New Roman" w:cs="Times New Roman"/>
          <w:noProof/>
          <w:snapToGrid w:val="0"/>
          <w:szCs w:val="24"/>
        </w:rPr>
        <w:t>Jeigu vartojate ar neseniai vartojote kitų vaistų arba dėl to nesate tikri, apie tai pasakykite gydytojui arba vaistininkui.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Jei manitolio infuzijos metu būtina perpilti kraujo, pastarojo reikia infuzuoti į kitą veną.</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Manitolis stiprina diuretikų poveikį ir dėl to daugiau išsiskiria elektrolitų, įskaitant Na+, K+, Ca2+, Mg2+, Cl-, HCO3-, ir fosfatų.</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Jei kartu vartojama manitolio ir aminoglikozidų, didėja toksinis pastarųjų preparatų poveikis klausai.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Manitolis didina ličio išsiskyrimą pro inkstus.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Manitolis gali stiprinti tubokurarino ir kitų nedepoliarizuojančio arba depoliarizuojančio poveikio miorelaksantų veikimą.</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 xml:space="preserve">Kartu su manitoliu vartojant geriamųjų antikoaguliantų (kraujo krešėjimą slopinančių vaistų), pastarųjų </w:t>
      </w:r>
      <w:r>
        <w:rPr>
          <w:rFonts w:ascii="Times New Roman" w:eastAsia="Times New Roman" w:hAnsi="Times New Roman" w:cs="Times New Roman"/>
          <w:lang w:eastAsia="lt-LT"/>
        </w:rPr>
        <w:t>vaistų</w:t>
      </w:r>
      <w:r w:rsidRPr="007738F0">
        <w:rPr>
          <w:rFonts w:ascii="Times New Roman" w:eastAsia="Times New Roman" w:hAnsi="Times New Roman" w:cs="Times New Roman"/>
          <w:lang w:eastAsia="lt-LT"/>
        </w:rPr>
        <w:t xml:space="preserve"> poveikis silpnėja, kadangi dėl plazmos tūrio sumažėjimo, didėja krešėjimo faktorių koncentracija kraujyje.</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Manitolis gali didinti dėl hipokalemijos (kalio koncentracijos kraujyje sumažėjimo) pasireiškiančio toksinio digoksino poveikio riziką.</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Bet kokios koncentracijos manitolio tirpalą maišyti su adrenokortikotropinio hormono preparatais, barbitūratais, norepinefrinu, metaraminoliu, sukcinilcholinu, cisplatina arba tetraciklinais, draudžiama.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Nėštumas, </w:t>
      </w:r>
      <w:r w:rsidRPr="007738F0">
        <w:rPr>
          <w:rFonts w:ascii="Times New Roman" w:eastAsia="Times New Roman" w:hAnsi="Times New Roman" w:cs="Times New Roman"/>
          <w:b/>
          <w:lang w:eastAsia="lt-LT"/>
        </w:rPr>
        <w:t>žindymo laikotarpis</w:t>
      </w:r>
      <w:r>
        <w:rPr>
          <w:rFonts w:ascii="Times New Roman" w:eastAsia="Times New Roman" w:hAnsi="Times New Roman" w:cs="Times New Roman"/>
          <w:b/>
          <w:lang w:eastAsia="lt-LT"/>
        </w:rPr>
        <w:t xml:space="preserve"> ir vaisingumas</w:t>
      </w:r>
    </w:p>
    <w:p w:rsidR="00CF7478" w:rsidRDefault="00CF7478" w:rsidP="00CF7478">
      <w:pPr>
        <w:numPr>
          <w:ilvl w:val="12"/>
          <w:numId w:val="0"/>
        </w:numPr>
        <w:spacing w:after="0" w:line="240" w:lineRule="auto"/>
        <w:rPr>
          <w:rFonts w:ascii="Times New Roman" w:eastAsia="Times New Roman" w:hAnsi="Times New Roman" w:cs="Times New Roman"/>
          <w:snapToGrid w:val="0"/>
          <w:szCs w:val="24"/>
        </w:rPr>
      </w:pPr>
      <w:r w:rsidRPr="00166175">
        <w:rPr>
          <w:rFonts w:ascii="Times New Roman" w:eastAsia="Times New Roman" w:hAnsi="Times New Roman" w:cs="Times New Roman"/>
          <w:noProof/>
          <w:snapToGrid w:val="0"/>
          <w:szCs w:val="24"/>
        </w:rPr>
        <w:t>Jeigu esate nėščia, žindote kūdikį, manote, kad galbūt esate nėščia, arba planuojate pastoti, tai prieš vartodama šį vaistą, pasitarkite su gydytoju arba vaistininku.</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Reikiamų duomenų apie manitolio vartojimą nėštumo metu nėra, todėl nėštumo laikotarpiu manitolio vartoti negalima, išskyrus neabejotinai būtinus atvejus ir tik gydytojui nustačius, kad nauda bus didesnė už galimą riziką vaisiui.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Žindymo laikotarpiu vartojamo manitolio saugumas tinkamais ir gerai kontroliuojamais tyrimais nenustatinėtas, todėl žindyvėms šio vaisto galima vartoti tik būtinu atveju.</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Vairavimas ir mechanizmų valdymas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Mannitol Fresenius 10 % infuzinis tirpalas gebėjimo vairuoti ir valdyti mechanizmus neveikia.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3.</w:t>
      </w:r>
      <w:r w:rsidRPr="007738F0">
        <w:rPr>
          <w:rFonts w:ascii="Times New Roman" w:eastAsia="Times New Roman" w:hAnsi="Times New Roman" w:cs="Times New Roman"/>
          <w:b/>
          <w:lang w:eastAsia="lt-LT"/>
        </w:rPr>
        <w:tab/>
        <w:t>Kaip vartoti Mannitol Fresenius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Mannitol Fresenius  gydoma tik ligoninėje.</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 xml:space="preserve">Dozė ir infuzijos greitis priklauso nuo paciento amžiaus, būklės, šlapimo išsiskyrimo, skysčių kiekio organizme ir reakcijos į vaistą. Leidžiant manitolio </w:t>
      </w:r>
      <w:r>
        <w:rPr>
          <w:rFonts w:ascii="Times New Roman" w:eastAsia="Times New Roman" w:hAnsi="Times New Roman" w:cs="Times New Roman"/>
          <w:lang w:eastAsia="lt-LT"/>
        </w:rPr>
        <w:t xml:space="preserve">infuzinio </w:t>
      </w:r>
      <w:r w:rsidRPr="007738F0">
        <w:rPr>
          <w:rFonts w:ascii="Times New Roman" w:eastAsia="Times New Roman" w:hAnsi="Times New Roman" w:cs="Times New Roman"/>
          <w:lang w:eastAsia="lt-LT"/>
        </w:rPr>
        <w:t>tirpalo, būtina sekti, ar pacientui nesutriko skysčių ir elektrolitų pusiausvyra.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Dozavimą nustato gydytojas.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u w:val="single"/>
          <w:lang w:eastAsia="lt-LT"/>
        </w:rPr>
        <w:t>Suaugę pacientai ir paaugliai</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Sunkaus apsinuodijimo vaistais atveju pagalbinio gydymo metu reikia stiprinti diurezę (šlapimo išskyrimą). Manitolio dozė turi būti koreguojama, atsižvelgiant į diurezę, kuri turi būti mažiausiai 100 ml/val. Pradžioje reikia suleisti įsotinamąją maždaug 250 ml manitolio dozę.</w:t>
      </w:r>
    </w:p>
    <w:p w:rsidR="00CF7478" w:rsidRPr="007738F0" w:rsidRDefault="00CF7478" w:rsidP="00CF7478">
      <w:pPr>
        <w:tabs>
          <w:tab w:val="left" w:pos="567"/>
        </w:tabs>
        <w:spacing w:after="0" w:line="240" w:lineRule="auto"/>
        <w:rPr>
          <w:rFonts w:ascii="Times New Roman" w:eastAsia="Times New Roman" w:hAnsi="Times New Roman" w:cs="Times New Roman"/>
          <w:u w:val="single"/>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u w:val="single"/>
          <w:lang w:eastAsia="lt-LT"/>
        </w:rPr>
        <w:t>Vartojimas vaikams</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Inkstų nepakankamumo atveju, testo dozė 200 mg (2 ml) manitolio/kg kūno svorio suleidžiama per 3</w:t>
      </w:r>
      <w:r w:rsidRPr="007738F0">
        <w:rPr>
          <w:rFonts w:ascii="Times New Roman" w:eastAsia="Times New Roman" w:hAnsi="Times New Roman" w:cs="Times New Roman"/>
          <w:lang w:eastAsia="lt-LT"/>
        </w:rPr>
        <w:noBreakHyphen/>
        <w:t>5 minutes. Gydomoji dozė yra 0,5–1,5 g (5</w:t>
      </w:r>
      <w:r w:rsidRPr="007738F0">
        <w:rPr>
          <w:rFonts w:ascii="Times New Roman" w:eastAsia="Times New Roman" w:hAnsi="Times New Roman" w:cs="Times New Roman"/>
          <w:lang w:eastAsia="lt-LT"/>
        </w:rPr>
        <w:noBreakHyphen/>
        <w:t>10 ml)/kg kūno svorio. Tokią dozę, prireikus, galima pakartotinai suleisti vieną arba du kartus. Tarp dozių turi būti 4–8 valandų intervalas.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u w:val="single"/>
          <w:lang w:eastAsia="lt-LT"/>
        </w:rPr>
      </w:pPr>
      <w:r w:rsidRPr="007738F0">
        <w:rPr>
          <w:rFonts w:ascii="Times New Roman" w:eastAsia="Times New Roman" w:hAnsi="Times New Roman" w:cs="Times New Roman"/>
          <w:u w:val="single"/>
          <w:lang w:eastAsia="lt-LT"/>
        </w:rPr>
        <w:t>Senyvi pacientai</w:t>
      </w:r>
    </w:p>
    <w:p w:rsidR="00CF7478" w:rsidRDefault="00CF7478" w:rsidP="00CF7478">
      <w:pPr>
        <w:tabs>
          <w:tab w:val="left" w:pos="0"/>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Kaip ir gydant suaugusius pacientus, dozė priklauso nuo svorio, klinikinės ir biologinės būklės ir kartu vartojamų vaistų. Paprastai dozė yra tokia pati, kuri skiriama suaugusiems pacientams, t. y. 50</w:t>
      </w:r>
      <w:r w:rsidRPr="007738F0">
        <w:rPr>
          <w:rFonts w:ascii="Times New Roman" w:eastAsia="Times New Roman" w:hAnsi="Times New Roman" w:cs="Times New Roman"/>
          <w:lang w:eastAsia="lt-LT"/>
        </w:rPr>
        <w:noBreakHyphen/>
        <w:t>200 g manitolio (500–2000 ml) /per parą, dozę mažinant 50 g (500 ml) manitolio kiekvieno leidimo metu. Prieš dozavimą paciento būklę reikia atidžiai patikrinti, nes galima ankstyva inkstų nepakankamumo stadija.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 xml:space="preserve">Ką daryti pavartojus per didelę </w:t>
      </w:r>
      <w:r w:rsidRPr="007738F0">
        <w:rPr>
          <w:rFonts w:ascii="Times New Roman" w:eastAsia="Times New Roman" w:hAnsi="Times New Roman" w:cs="Times New Roman"/>
          <w:b/>
          <w:bCs/>
          <w:lang w:eastAsia="lt-LT"/>
        </w:rPr>
        <w:t>Mannitol Fresenius</w:t>
      </w:r>
      <w:r w:rsidRPr="007738F0">
        <w:rPr>
          <w:rFonts w:ascii="Times New Roman" w:eastAsia="Times New Roman" w:hAnsi="Times New Roman" w:cs="Times New Roman"/>
          <w:b/>
          <w:lang w:eastAsia="lt-LT"/>
        </w:rPr>
        <w:t xml:space="preserve">  dozę?</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Perdozavus manitolio, atsiranda tarpląstelinio skysčio perteklius, centrinės nervų sistemos pažeidimo simptomų: galvos skausmas, pykinimas, vėmimas, raumenų spazmas, galimi traukuliai. Kai kada dėl smegenų dehidracijos gali kraujuoti po kietuoju ar voratinkliniu smegenų dangalu, dėl to pasireiškia galvos skausmas ir svaigimas, pykinimas arba vėmimas, miglotas matymas. Gali sutrikti elektrolitų pusiausvyra: atsirasti hiponatremija ar hipernatremija, hipokalemija arba hiperkalemija.</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Jei greitai infuzuojamas didelis manitolio kiekis, gali sutrikti kraujotaka, nes kraujagyslėse atsiranda skysčio perteklius, todėl gali prasidėti širdies nepakankamumas ar plaučių edema.</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Tokiu atveju geriausiai tinka hemodializė, kurios metu greitai pašalinamas iš organizmo manitolis Jeigu yra hiponatremija, reikia vartoti natrio. Alternatyvus gydymo būdas – pilvaplėvės dializė.</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Jei intoksikacija yra nelabai sunki, pacientą reikia gydyti simptominėmis priemonėmis, ypač koreguoti skysčių ir elektrolitų balanso sutrikimą.</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4.</w:t>
      </w:r>
      <w:r w:rsidRPr="007738F0">
        <w:rPr>
          <w:rFonts w:ascii="Times New Roman" w:eastAsia="Times New Roman" w:hAnsi="Times New Roman" w:cs="Times New Roman"/>
          <w:b/>
          <w:lang w:eastAsia="lt-LT"/>
        </w:rPr>
        <w:tab/>
        <w:t>Galimas šalutinis poveikis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Šis vaistas, kaip ir visi kiti, gali sukelti šalutinį poveikį, nors jis pasireiškia ne visiems žmonėms.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Paprastai 10 % manitolio tirpalas toleruojamas gerai.</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Nepageidaujamas poveikis pasireiškia retai ir gali būti susijęs su pagalbinėmis medžiagomis arba infuzijos atlikimo būdu.</w:t>
      </w:r>
    </w:p>
    <w:p w:rsidR="00CF7478" w:rsidRPr="0026184C" w:rsidRDefault="00CF7478" w:rsidP="00CF7478">
      <w:pPr>
        <w:autoSpaceDE w:val="0"/>
        <w:spacing w:after="0" w:line="240" w:lineRule="auto"/>
        <w:contextualSpacing/>
        <w:rPr>
          <w:rFonts w:ascii="Times New Roman" w:eastAsia="Times New Roman" w:hAnsi="Times New Roman" w:cs="Times New Roman"/>
          <w:snapToGrid w:val="0"/>
          <w:szCs w:val="20"/>
        </w:rPr>
      </w:pPr>
      <w:r w:rsidRPr="0026184C">
        <w:rPr>
          <w:rFonts w:ascii="Times New Roman" w:eastAsia="Times New Roman" w:hAnsi="Times New Roman" w:cs="Times New Roman"/>
          <w:snapToGrid w:val="0"/>
        </w:rPr>
        <w:t xml:space="preserve">Nepageidaujamo poveikio </w:t>
      </w:r>
      <w:r w:rsidRPr="0026184C">
        <w:rPr>
          <w:rFonts w:ascii="Times New Roman" w:eastAsia="Times New Roman" w:hAnsi="Times New Roman" w:cs="Times New Roman"/>
          <w:snapToGrid w:val="0"/>
          <w:szCs w:val="20"/>
        </w:rPr>
        <w:t>dažnis apibūdinamas taip: labai dažnas (≥ 1/10), dažnas (nuo ≥ 1/100 iki &lt; 1/10), nedažnas (nuo ≥ 1/1000 iki &lt; 1/100), retas (nuo ≥ 1/10000 iki &lt; 1/1000), labai retas (&lt; 1/10000) ir nežinomas (negali būti apskaičiuotas pagal turimus duomenis).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Infuzijos metu ar po jos gali atsirasti toliau išvardytas šalutinis poveikis.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keepNext/>
        <w:keepLines/>
        <w:tabs>
          <w:tab w:val="left" w:pos="567"/>
        </w:tabs>
        <w:spacing w:after="0" w:line="240" w:lineRule="auto"/>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Inkstų ir šlapimo takų sutrikimai</w:t>
      </w:r>
    </w:p>
    <w:p w:rsidR="00CF7478" w:rsidRPr="007E1DA5" w:rsidRDefault="00CF7478" w:rsidP="00CF7478">
      <w:pPr>
        <w:keepNext/>
        <w:keepLines/>
        <w:tabs>
          <w:tab w:val="left" w:pos="567"/>
        </w:tabs>
        <w:spacing w:after="0" w:line="240" w:lineRule="auto"/>
        <w:rPr>
          <w:rFonts w:ascii="Times New Roman" w:eastAsia="Times New Roman" w:hAnsi="Times New Roman" w:cs="Times New Roman"/>
          <w:i/>
          <w:u w:val="single"/>
          <w:lang w:eastAsia="lt-LT"/>
        </w:rPr>
      </w:pPr>
      <w:r w:rsidRPr="007E1DA5">
        <w:rPr>
          <w:rFonts w:ascii="Times New Roman" w:eastAsia="Times New Roman" w:hAnsi="Times New Roman" w:cs="Times New Roman"/>
          <w:i/>
          <w:u w:val="single"/>
          <w:lang w:eastAsia="lt-LT"/>
        </w:rPr>
        <w:t>Nedažni</w:t>
      </w:r>
    </w:p>
    <w:p w:rsidR="00CF7478" w:rsidRPr="007738F0" w:rsidRDefault="00CF7478" w:rsidP="00CF7478">
      <w:pPr>
        <w:keepNext/>
        <w:keepLines/>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Šlapimo susilaikymas, vandens ir elektrolitų balanso sutrikimas, pernelyg gausi diurezė, dehidracija (skysčių netekimas), edema (paburkimas), ūminis inkstų nepakankamumas.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Metabolizmo ir mitybos sutrikimai</w:t>
      </w:r>
    </w:p>
    <w:p w:rsidR="00CF7478" w:rsidRPr="007738F0" w:rsidRDefault="00CF7478" w:rsidP="00CF7478">
      <w:pPr>
        <w:tabs>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Nedažni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Acidozė (organizmo skysčių parūgštėjimas), dehidracija, apetito sumažėjimas.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Kvėpavimo sistemos, krūtinės ląstos ir tarpuplaučio sutrikimai</w:t>
      </w:r>
    </w:p>
    <w:p w:rsidR="00CF7478" w:rsidRPr="007738F0" w:rsidRDefault="00CF7478" w:rsidP="00CF7478">
      <w:pPr>
        <w:tabs>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Labai dažni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Kosulys.</w:t>
      </w:r>
    </w:p>
    <w:p w:rsidR="00CF7478" w:rsidRPr="007738F0" w:rsidRDefault="00CF7478" w:rsidP="00CF7478">
      <w:pPr>
        <w:tabs>
          <w:tab w:val="left" w:pos="567"/>
        </w:tabs>
        <w:spacing w:after="0" w:line="240" w:lineRule="auto"/>
        <w:rPr>
          <w:rFonts w:ascii="Times New Roman" w:eastAsia="Times New Roman" w:hAnsi="Times New Roman" w:cs="Times New Roman"/>
          <w:i/>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Nedažni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Kraujo stazės plaučiuose simptomai, plaučių edema, nosies gleivinės uždegimas, krūtinės skausmas.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Virškinimo trakto sutrikimai</w:t>
      </w:r>
    </w:p>
    <w:p w:rsidR="00CF7478" w:rsidRPr="007738F0" w:rsidRDefault="00CF7478" w:rsidP="00CF7478">
      <w:pPr>
        <w:tabs>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Nedažni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Burnos džiūvimas, troškulys, pykinimas, vėmimas, viduriavimas.</w:t>
      </w:r>
    </w:p>
    <w:p w:rsidR="00CF7478" w:rsidRPr="007738F0" w:rsidRDefault="00CF7478" w:rsidP="00CF7478">
      <w:pPr>
        <w:tabs>
          <w:tab w:val="left" w:pos="0"/>
          <w:tab w:val="left" w:pos="567"/>
        </w:tabs>
        <w:spacing w:after="0" w:line="240" w:lineRule="auto"/>
        <w:jc w:val="both"/>
        <w:rPr>
          <w:rFonts w:ascii="Times New Roman" w:eastAsia="Times New Roman" w:hAnsi="Times New Roman" w:cs="Times New Roman"/>
          <w:lang w:eastAsia="lt-LT"/>
        </w:rPr>
      </w:pPr>
    </w:p>
    <w:p w:rsidR="00CF7478" w:rsidRPr="007738F0" w:rsidRDefault="00CF7478" w:rsidP="00CF7478">
      <w:pPr>
        <w:tabs>
          <w:tab w:val="left" w:pos="0"/>
          <w:tab w:val="left" w:pos="567"/>
        </w:tabs>
        <w:spacing w:after="0" w:line="240" w:lineRule="auto"/>
        <w:jc w:val="both"/>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Širdies sutrikimai</w:t>
      </w:r>
    </w:p>
    <w:p w:rsidR="00CF7478" w:rsidRPr="007738F0" w:rsidRDefault="00CF7478" w:rsidP="00CF7478">
      <w:pPr>
        <w:tabs>
          <w:tab w:val="left" w:pos="0"/>
          <w:tab w:val="left" w:pos="567"/>
        </w:tabs>
        <w:spacing w:after="0" w:line="240" w:lineRule="auto"/>
        <w:jc w:val="both"/>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Reti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Tachikardija (dažnas širdies plakimas), hipotenzija (kraujospūdžio sumažėjimas), hipertenzija (kraujospūdžio padidėjimas), širdies nepakankamumas.</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Odos ir poodinio audinio sutrikimai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Reti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Pasireiškia dilgėlinė, bėrimas, niežulys.</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noProof/>
          <w:lang w:eastAsia="lt-LT"/>
        </w:rPr>
      </w:pPr>
      <w:r w:rsidRPr="007738F0">
        <w:rPr>
          <w:rFonts w:ascii="Times New Roman" w:eastAsia="Times New Roman" w:hAnsi="Times New Roman" w:cs="Times New Roman"/>
          <w:i/>
          <w:noProof/>
          <w:lang w:eastAsia="lt-LT"/>
        </w:rPr>
        <w:t>Imuninės sistemos sutrikimai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noProof/>
          <w:u w:val="single"/>
          <w:lang w:eastAsia="lt-LT"/>
        </w:rPr>
        <w:t>Labai reti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Alerginės reakcijos, anafilaksinis šokas.</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Nervų sistemos sutrikimai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Nedažni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lang w:eastAsia="lt-LT"/>
        </w:rPr>
      </w:pPr>
      <w:r w:rsidRPr="007E1DA5">
        <w:rPr>
          <w:rFonts w:ascii="Times New Roman" w:eastAsia="Times New Roman" w:hAnsi="Times New Roman" w:cs="Times New Roman"/>
          <w:lang w:eastAsia="lt-LT"/>
        </w:rPr>
        <w:t>Galvos sukimasis,</w:t>
      </w:r>
      <w:r w:rsidRPr="007738F0">
        <w:rPr>
          <w:rFonts w:ascii="Times New Roman" w:eastAsia="Times New Roman" w:hAnsi="Times New Roman" w:cs="Times New Roman"/>
          <w:i/>
          <w:lang w:eastAsia="lt-LT"/>
        </w:rPr>
        <w:t xml:space="preserve"> </w:t>
      </w:r>
      <w:r w:rsidRPr="007738F0">
        <w:rPr>
          <w:rFonts w:ascii="Times New Roman" w:eastAsia="Times New Roman" w:hAnsi="Times New Roman" w:cs="Times New Roman"/>
          <w:lang w:eastAsia="lt-LT"/>
        </w:rPr>
        <w:t>sumažėjęs intrakranijinis spaudimas.</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lang w:eastAsia="lt-LT"/>
        </w:rPr>
      </w:pP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Dažni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Galvos skausmas.</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lang w:eastAsia="lt-LT"/>
        </w:rPr>
      </w:pPr>
      <w:r w:rsidRPr="007738F0">
        <w:rPr>
          <w:rFonts w:ascii="Times New Roman" w:eastAsia="Times New Roman" w:hAnsi="Times New Roman" w:cs="Times New Roman"/>
          <w:i/>
          <w:noProof/>
          <w:lang w:eastAsia="lt-LT"/>
        </w:rPr>
        <w:t>Skeleto, raumenų ir jungiamojo audinio sutrikimai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noProof/>
          <w:u w:val="single"/>
          <w:lang w:eastAsia="lt-LT"/>
        </w:rPr>
        <w:t>Nedažni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Raumenų spazmai, mėšlungis, artralgija (sąnarių skausmas), nugaros skausmas.</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Akių sutrikimai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Nedažni</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Regos sutrikimas (matoma lyg per miglą).</w:t>
      </w:r>
    </w:p>
    <w:p w:rsidR="00CF7478" w:rsidRPr="007738F0" w:rsidRDefault="00CF7478" w:rsidP="00CF7478">
      <w:pPr>
        <w:tabs>
          <w:tab w:val="left" w:pos="0"/>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0"/>
          <w:tab w:val="left" w:pos="567"/>
        </w:tabs>
        <w:spacing w:after="0" w:line="240" w:lineRule="auto"/>
        <w:jc w:val="both"/>
        <w:rPr>
          <w:rFonts w:ascii="Times New Roman" w:eastAsia="Times New Roman" w:hAnsi="Times New Roman" w:cs="Times New Roman"/>
          <w:i/>
          <w:lang w:eastAsia="lt-LT"/>
        </w:rPr>
      </w:pPr>
      <w:r w:rsidRPr="007738F0">
        <w:rPr>
          <w:rFonts w:ascii="Times New Roman" w:eastAsia="Times New Roman" w:hAnsi="Times New Roman" w:cs="Times New Roman"/>
          <w:i/>
          <w:lang w:eastAsia="lt-LT"/>
        </w:rPr>
        <w:t>Bendrieji sutrikimai ir vartojimo vietos pažeidimai</w:t>
      </w:r>
    </w:p>
    <w:p w:rsidR="00CF7478" w:rsidRPr="007738F0" w:rsidRDefault="00CF7478" w:rsidP="00CF7478">
      <w:pPr>
        <w:tabs>
          <w:tab w:val="left" w:pos="0"/>
          <w:tab w:val="left" w:pos="567"/>
        </w:tabs>
        <w:spacing w:after="0" w:line="240" w:lineRule="auto"/>
        <w:jc w:val="both"/>
        <w:rPr>
          <w:rFonts w:ascii="Times New Roman" w:eastAsia="Times New Roman" w:hAnsi="Times New Roman" w:cs="Times New Roman"/>
          <w:i/>
          <w:u w:val="single"/>
          <w:lang w:eastAsia="lt-LT"/>
        </w:rPr>
      </w:pPr>
      <w:r w:rsidRPr="007738F0">
        <w:rPr>
          <w:rFonts w:ascii="Times New Roman" w:eastAsia="Times New Roman" w:hAnsi="Times New Roman" w:cs="Times New Roman"/>
          <w:i/>
          <w:u w:val="single"/>
          <w:lang w:eastAsia="lt-LT"/>
        </w:rPr>
        <w:t>Nedažni</w:t>
      </w:r>
    </w:p>
    <w:p w:rsidR="00CF7478" w:rsidRDefault="00CF7478" w:rsidP="00CF7478">
      <w:pPr>
        <w:tabs>
          <w:tab w:val="left" w:pos="0"/>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Karščiavimas, šaltkrėtis. Jei atsitiktinai praduriama kraujagyslė ir tirpalo patenka į aplinkinius audinius, jie gali pabrinkti, prasidėti uždegimas, tromboflebitas (venos uždegimas), įvykti odos nekrozė.</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Jei pasireiškia šalutinis poveikis, infuziją reikia nedelsiant nutraukti ir pacientą pradėti tinkamai gydyti. Prireikus, likusį infuzinį tirpalą pateikti ištyrimui.</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166175" w:rsidRDefault="00CF7478" w:rsidP="00CF7478">
      <w:pPr>
        <w:keepNext/>
        <w:keepLines/>
        <w:tabs>
          <w:tab w:val="left" w:pos="567"/>
        </w:tabs>
        <w:spacing w:after="0" w:line="240" w:lineRule="auto"/>
        <w:rPr>
          <w:rFonts w:ascii="Times New Roman" w:eastAsia="Times New Roman" w:hAnsi="Times New Roman" w:cs="Times New Roman"/>
          <w:b/>
          <w:snapToGrid w:val="0"/>
          <w:szCs w:val="24"/>
        </w:rPr>
      </w:pPr>
      <w:r w:rsidRPr="00166175">
        <w:rPr>
          <w:rFonts w:ascii="Times New Roman" w:eastAsia="Times New Roman" w:hAnsi="Times New Roman" w:cs="Times New Roman"/>
          <w:b/>
          <w:noProof/>
          <w:snapToGrid w:val="0"/>
          <w:szCs w:val="24"/>
        </w:rPr>
        <w:t>Pranešimas apie šalutinį poveikį</w:t>
      </w:r>
    </w:p>
    <w:p w:rsidR="00CF7478" w:rsidRPr="00166175" w:rsidRDefault="00CF7478" w:rsidP="00CF7478">
      <w:pPr>
        <w:keepNext/>
        <w:keepLines/>
        <w:tabs>
          <w:tab w:val="left" w:pos="567"/>
        </w:tabs>
        <w:spacing w:after="0" w:line="240" w:lineRule="auto"/>
        <w:rPr>
          <w:rFonts w:ascii="Times New Roman" w:eastAsia="Times New Roman" w:hAnsi="Times New Roman" w:cs="Times New Roman"/>
          <w:noProof/>
          <w:snapToGrid w:val="0"/>
          <w:szCs w:val="24"/>
        </w:rPr>
      </w:pPr>
      <w:r w:rsidRPr="00166175">
        <w:rPr>
          <w:rFonts w:ascii="Times New Roman" w:eastAsia="Times New Roman" w:hAnsi="Times New Roman" w:cs="Times New Roman"/>
          <w:noProof/>
          <w:snapToGrid w:val="0"/>
          <w:szCs w:val="24"/>
        </w:rPr>
        <w:t>Jeigu pasireiškė šalutinis poveikis, įskaitant šiame lapelyje nenurodytą, pasakykite gydytojui arba vaistininkui</w:t>
      </w:r>
      <w:r w:rsidRPr="00166175">
        <w:rPr>
          <w:rFonts w:ascii="Times New Roman" w:eastAsia="Times New Roman" w:hAnsi="Times New Roman" w:cs="Times New Roman"/>
          <w:snapToGrid w:val="0"/>
        </w:rPr>
        <w:t>.</w:t>
      </w:r>
      <w:r w:rsidRPr="00166175">
        <w:rPr>
          <w:rFonts w:ascii="Times New Roman" w:eastAsia="Times New Roman" w:hAnsi="Times New Roman" w:cs="Times New Roman"/>
          <w:noProof/>
          <w:snapToGrid w:val="0"/>
          <w:szCs w:val="24"/>
        </w:rPr>
        <w:t xml:space="preserve"> Apie šalutinį poveikį taip pat galite pranešti Valstybinei vaistų kontrolės tarnybai prie Lietuvos Respublikos sveikatos apsaugos ministerijos nemokamu telefonu 8 800 73568 arba užpildyti interneto svetainėje </w:t>
      </w:r>
      <w:hyperlink r:id="rId4" w:history="1">
        <w:r w:rsidRPr="007738F0">
          <w:rPr>
            <w:rFonts w:ascii="Times New Roman" w:eastAsia="Times New Roman" w:hAnsi="Times New Roman" w:cs="Times New Roman"/>
            <w:noProof/>
            <w:snapToGrid w:val="0"/>
            <w:color w:val="0000FF"/>
            <w:szCs w:val="24"/>
            <w:u w:val="single"/>
          </w:rPr>
          <w:t>www.vvkt.lt</w:t>
        </w:r>
      </w:hyperlink>
      <w:r w:rsidRPr="00166175">
        <w:rPr>
          <w:rFonts w:ascii="Times New Roman" w:eastAsia="Times New Roman" w:hAnsi="Times New Roman" w:cs="Times New Roman"/>
          <w:noProof/>
          <w:snapToGrid w:val="0"/>
          <w:szCs w:val="24"/>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5" w:history="1">
        <w:r w:rsidRPr="007738F0">
          <w:rPr>
            <w:rFonts w:ascii="Times New Roman" w:eastAsia="Times New Roman" w:hAnsi="Times New Roman" w:cs="Times New Roman"/>
            <w:noProof/>
            <w:snapToGrid w:val="0"/>
            <w:color w:val="0000FF"/>
            <w:szCs w:val="24"/>
            <w:u w:val="single"/>
          </w:rPr>
          <w:t>NepageidaujamaR@vvkt.lt</w:t>
        </w:r>
      </w:hyperlink>
      <w:r w:rsidRPr="00166175">
        <w:rPr>
          <w:rFonts w:ascii="Times New Roman" w:eastAsia="Times New Roman" w:hAnsi="Times New Roman" w:cs="Times New Roman"/>
          <w:noProof/>
          <w:snapToGrid w:val="0"/>
          <w:szCs w:val="24"/>
        </w:rPr>
        <w:t xml:space="preserve">, taip pat per Valstybinės vaistų kontrolės tarnybos prie Lietuvos Respublikos sveikatos apsaugos ministerijos interneto svetainę (adresu </w:t>
      </w:r>
      <w:hyperlink r:id="rId6" w:history="1">
        <w:r w:rsidRPr="007738F0">
          <w:rPr>
            <w:rFonts w:ascii="Times New Roman" w:eastAsia="Times New Roman" w:hAnsi="Times New Roman" w:cs="Times New Roman"/>
            <w:noProof/>
            <w:snapToGrid w:val="0"/>
            <w:color w:val="0000FF"/>
            <w:szCs w:val="24"/>
            <w:u w:val="single"/>
          </w:rPr>
          <w:t>http://www.vvkt.lt</w:t>
        </w:r>
      </w:hyperlink>
      <w:r w:rsidRPr="00166175">
        <w:rPr>
          <w:rFonts w:ascii="Times New Roman" w:eastAsia="Times New Roman" w:hAnsi="Times New Roman" w:cs="Times New Roman"/>
          <w:noProof/>
          <w:snapToGrid w:val="0"/>
          <w:szCs w:val="24"/>
        </w:rPr>
        <w:t>). Pranešdami apie šalutinį poveikį galite mums padėti gauti daugiau informacijos apie šio vaisto saugumą.</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tabs>
          <w:tab w:val="left" w:pos="567"/>
        </w:tabs>
        <w:spacing w:after="0" w:line="240" w:lineRule="auto"/>
        <w:rPr>
          <w:rFonts w:ascii="Times New Roman" w:eastAsia="Times New Roman" w:hAnsi="Times New Roman" w:cs="Times New Roman"/>
          <w:b/>
          <w:lang w:eastAsia="lt-LT"/>
        </w:rPr>
      </w:pPr>
      <w:r w:rsidRPr="00166175">
        <w:rPr>
          <w:rFonts w:ascii="Times New Roman" w:eastAsia="Times New Roman" w:hAnsi="Times New Roman" w:cs="Times New Roman"/>
          <w:b/>
          <w:lang w:eastAsia="lt-LT"/>
        </w:rPr>
        <w:t>5.</w:t>
      </w:r>
      <w:r w:rsidRPr="00166175">
        <w:rPr>
          <w:rFonts w:ascii="Times New Roman" w:eastAsia="Times New Roman" w:hAnsi="Times New Roman" w:cs="Times New Roman"/>
          <w:b/>
          <w:lang w:eastAsia="lt-LT"/>
        </w:rPr>
        <w:tab/>
        <w:t>Kaip laikyti Mannitol Fresenius</w:t>
      </w:r>
    </w:p>
    <w:p w:rsidR="00CF7478" w:rsidRPr="00166175" w:rsidRDefault="00CF7478" w:rsidP="00CF7478">
      <w:pPr>
        <w:tabs>
          <w:tab w:val="left" w:pos="567"/>
        </w:tabs>
        <w:spacing w:after="0" w:line="240" w:lineRule="auto"/>
        <w:rPr>
          <w:rFonts w:ascii="Times New Roman" w:eastAsia="Times New Roman" w:hAnsi="Times New Roman" w:cs="Times New Roman"/>
          <w:lang w:eastAsia="lt-LT"/>
        </w:rPr>
      </w:pPr>
    </w:p>
    <w:p w:rsidR="00CF7478" w:rsidRPr="00166175" w:rsidRDefault="00CF7478" w:rsidP="00CF7478">
      <w:pPr>
        <w:numPr>
          <w:ilvl w:val="12"/>
          <w:numId w:val="0"/>
        </w:numPr>
        <w:spacing w:after="0" w:line="240" w:lineRule="auto"/>
        <w:ind w:right="-2"/>
        <w:rPr>
          <w:rFonts w:ascii="Times New Roman" w:eastAsia="Times New Roman" w:hAnsi="Times New Roman" w:cs="Times New Roman"/>
          <w:snapToGrid w:val="0"/>
          <w:szCs w:val="24"/>
        </w:rPr>
      </w:pPr>
      <w:r w:rsidRPr="00166175">
        <w:rPr>
          <w:rFonts w:ascii="Times New Roman" w:eastAsia="Times New Roman" w:hAnsi="Times New Roman" w:cs="Times New Roman"/>
          <w:noProof/>
          <w:snapToGrid w:val="0"/>
          <w:szCs w:val="24"/>
        </w:rPr>
        <w:t>Šį vaistą laikykite vaikams nepastebimoje ir nepasiekiamoje vietoje.</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Laikyti ne aukštesnėje kaip 25 </w:t>
      </w:r>
      <w:r w:rsidRPr="007738F0">
        <w:rPr>
          <w:rFonts w:ascii="Times New Roman" w:eastAsia="Times New Roman" w:hAnsi="Times New Roman" w:cs="Times New Roman"/>
          <w:lang w:eastAsia="lt-LT"/>
        </w:rPr>
        <w:sym w:font="Symbol" w:char="00B0"/>
      </w:r>
      <w:r w:rsidRPr="007738F0">
        <w:rPr>
          <w:rFonts w:ascii="Times New Roman" w:eastAsia="Times New Roman" w:hAnsi="Times New Roman" w:cs="Times New Roman"/>
          <w:lang w:eastAsia="lt-LT"/>
        </w:rPr>
        <w:t>C temperatūroje.</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 xml:space="preserve">Jei susidarė kristalai, buteliuką prieš vartojant pašildyti. Vartoti galima tik skaidrų </w:t>
      </w:r>
      <w:r>
        <w:rPr>
          <w:rFonts w:ascii="Times New Roman" w:eastAsia="Times New Roman" w:hAnsi="Times New Roman" w:cs="Times New Roman"/>
          <w:lang w:eastAsia="lt-LT"/>
        </w:rPr>
        <w:t xml:space="preserve">infuzinį </w:t>
      </w:r>
      <w:r w:rsidRPr="007738F0">
        <w:rPr>
          <w:rFonts w:ascii="Times New Roman" w:eastAsia="Times New Roman" w:hAnsi="Times New Roman" w:cs="Times New Roman"/>
          <w:lang w:eastAsia="lt-LT"/>
        </w:rPr>
        <w:t>tirpalą.</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 xml:space="preserve">Atidarius pakuotę ir laikantis aseptikos reikalavimų, </w:t>
      </w:r>
      <w:r>
        <w:rPr>
          <w:rFonts w:ascii="Times New Roman" w:eastAsia="Times New Roman" w:hAnsi="Times New Roman" w:cs="Times New Roman"/>
          <w:lang w:eastAsia="lt-LT"/>
        </w:rPr>
        <w:t xml:space="preserve">infuzinis </w:t>
      </w:r>
      <w:r w:rsidRPr="007738F0">
        <w:rPr>
          <w:rFonts w:ascii="Times New Roman" w:eastAsia="Times New Roman" w:hAnsi="Times New Roman" w:cs="Times New Roman"/>
          <w:lang w:eastAsia="lt-LT"/>
        </w:rPr>
        <w:t>tirpalas stabilus išlieka 12 valandų.</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Ant dėžutės ir buteliuko po „Tinka iki“ nurodytam tinkamumo laikui pasibaigus, šio vaisto vartoti negalima. Vaistas tinkamas vartoti iki paskutinės nurodyto mėnesio dienos.</w:t>
      </w:r>
    </w:p>
    <w:p w:rsidR="00CF7478" w:rsidRPr="007738F0" w:rsidRDefault="00CF7478" w:rsidP="00CF7478">
      <w:pPr>
        <w:numPr>
          <w:ilvl w:val="12"/>
          <w:numId w:val="0"/>
        </w:numPr>
        <w:spacing w:after="0" w:line="240" w:lineRule="auto"/>
        <w:ind w:right="-2"/>
        <w:rPr>
          <w:rFonts w:ascii="Times New Roman" w:eastAsia="Times New Roman" w:hAnsi="Times New Roman" w:cs="Times New Roman"/>
          <w:noProof/>
          <w:snapToGrid w:val="0"/>
          <w:szCs w:val="24"/>
        </w:rPr>
      </w:pPr>
    </w:p>
    <w:p w:rsidR="00CF7478" w:rsidRPr="00166175" w:rsidRDefault="00CF7478" w:rsidP="00CF7478">
      <w:pPr>
        <w:numPr>
          <w:ilvl w:val="12"/>
          <w:numId w:val="0"/>
        </w:numPr>
        <w:spacing w:after="0" w:line="240" w:lineRule="auto"/>
        <w:ind w:right="-2"/>
        <w:rPr>
          <w:rFonts w:ascii="Times New Roman" w:eastAsia="Times New Roman" w:hAnsi="Times New Roman" w:cs="Times New Roman"/>
          <w:i/>
          <w:snapToGrid w:val="0"/>
          <w:szCs w:val="20"/>
        </w:rPr>
      </w:pPr>
      <w:r w:rsidRPr="00166175">
        <w:rPr>
          <w:rFonts w:ascii="Times New Roman" w:eastAsia="Times New Roman" w:hAnsi="Times New Roman" w:cs="Times New Roman"/>
          <w:noProof/>
          <w:snapToGrid w:val="0"/>
          <w:szCs w:val="24"/>
        </w:rPr>
        <w:t>Vaistų negalima išmesti į kanalizaciją arba su buitinėmis atliekomis.</w:t>
      </w:r>
      <w:r w:rsidRPr="00166175">
        <w:rPr>
          <w:rFonts w:ascii="Times New Roman" w:eastAsia="Times New Roman" w:hAnsi="Times New Roman" w:cs="Times New Roman"/>
          <w:snapToGrid w:val="0"/>
          <w:szCs w:val="24"/>
        </w:rPr>
        <w:t xml:space="preserve"> </w:t>
      </w:r>
      <w:r w:rsidRPr="00166175">
        <w:rPr>
          <w:rFonts w:ascii="Times New Roman" w:eastAsia="Times New Roman" w:hAnsi="Times New Roman" w:cs="Times New Roman"/>
          <w:noProof/>
          <w:snapToGrid w:val="0"/>
          <w:szCs w:val="24"/>
        </w:rPr>
        <w:t>Kaip išmesti nereikalingus vaistus, klauskite vaistininko.</w:t>
      </w:r>
      <w:r w:rsidRPr="00166175">
        <w:rPr>
          <w:rFonts w:ascii="Times New Roman" w:eastAsia="Times New Roman" w:hAnsi="Times New Roman" w:cs="Times New Roman"/>
          <w:snapToGrid w:val="0"/>
          <w:szCs w:val="24"/>
        </w:rPr>
        <w:t xml:space="preserve"> </w:t>
      </w:r>
      <w:r w:rsidRPr="00166175">
        <w:rPr>
          <w:rFonts w:ascii="Times New Roman" w:eastAsia="Times New Roman" w:hAnsi="Times New Roman" w:cs="Times New Roman"/>
          <w:noProof/>
          <w:snapToGrid w:val="0"/>
          <w:szCs w:val="24"/>
        </w:rPr>
        <w:t>Šios priemonės padės apsaugoti aplinką.</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6.</w:t>
      </w:r>
      <w:r w:rsidRPr="007738F0">
        <w:rPr>
          <w:rFonts w:ascii="Times New Roman" w:eastAsia="Times New Roman" w:hAnsi="Times New Roman" w:cs="Times New Roman"/>
          <w:b/>
          <w:lang w:eastAsia="lt-LT"/>
        </w:rPr>
        <w:tab/>
        <w:t>Pakuotės turinys ir kita informacija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b/>
          <w:lang w:eastAsia="lt-LT"/>
        </w:rPr>
        <w:t>Mannitol Fresenius sudėtis</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 xml:space="preserve">Veiklioji medžiaga yra manitolis. 1 ml </w:t>
      </w:r>
      <w:r>
        <w:rPr>
          <w:rFonts w:ascii="Times New Roman" w:eastAsia="Times New Roman" w:hAnsi="Times New Roman" w:cs="Times New Roman"/>
          <w:lang w:eastAsia="lt-LT"/>
        </w:rPr>
        <w:t xml:space="preserve">infuzinio </w:t>
      </w:r>
      <w:r w:rsidRPr="007738F0">
        <w:rPr>
          <w:rFonts w:ascii="Times New Roman" w:eastAsia="Times New Roman" w:hAnsi="Times New Roman" w:cs="Times New Roman"/>
          <w:lang w:eastAsia="lt-LT"/>
        </w:rPr>
        <w:t xml:space="preserve">tirpalo yra 100 mg manitolio. 1000 ml </w:t>
      </w:r>
      <w:r>
        <w:rPr>
          <w:rFonts w:ascii="Times New Roman" w:eastAsia="Times New Roman" w:hAnsi="Times New Roman" w:cs="Times New Roman"/>
          <w:lang w:eastAsia="lt-LT"/>
        </w:rPr>
        <w:t xml:space="preserve">infuzinio </w:t>
      </w:r>
      <w:r w:rsidRPr="007738F0">
        <w:rPr>
          <w:rFonts w:ascii="Times New Roman" w:eastAsia="Times New Roman" w:hAnsi="Times New Roman" w:cs="Times New Roman"/>
          <w:lang w:eastAsia="lt-LT"/>
        </w:rPr>
        <w:t xml:space="preserve">tirpalo yra </w:t>
      </w:r>
      <w:smartTag w:uri="urn:schemas-microsoft-com:office:smarttags" w:element="metricconverter">
        <w:smartTagPr>
          <w:attr w:name="ProductID" w:val="100ﾠg"/>
        </w:smartTagPr>
        <w:r w:rsidRPr="007738F0">
          <w:rPr>
            <w:rFonts w:ascii="Times New Roman" w:eastAsia="Times New Roman" w:hAnsi="Times New Roman" w:cs="Times New Roman"/>
            <w:lang w:eastAsia="lt-LT"/>
          </w:rPr>
          <w:t>100 g</w:t>
        </w:r>
      </w:smartTag>
      <w:r w:rsidRPr="007738F0">
        <w:rPr>
          <w:rFonts w:ascii="Times New Roman" w:eastAsia="Times New Roman" w:hAnsi="Times New Roman" w:cs="Times New Roman"/>
          <w:lang w:eastAsia="lt-LT"/>
        </w:rPr>
        <w:t xml:space="preserve"> manitolio.</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w:t>
      </w:r>
      <w:r w:rsidRPr="007738F0">
        <w:rPr>
          <w:rFonts w:ascii="Times New Roman" w:eastAsia="Times New Roman" w:hAnsi="Times New Roman" w:cs="Times New Roman"/>
          <w:lang w:eastAsia="lt-LT"/>
        </w:rPr>
        <w:tab/>
        <w:t>Pagalbinė medžiaga yra injekcinis vanduo.</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Infuzinio t</w:t>
      </w:r>
      <w:r w:rsidRPr="007738F0">
        <w:rPr>
          <w:rFonts w:ascii="Times New Roman" w:eastAsia="Times New Roman" w:hAnsi="Times New Roman" w:cs="Times New Roman"/>
          <w:lang w:eastAsia="lt-LT"/>
        </w:rPr>
        <w:t>irpalo osmoliariškumas yra maždaug 549 mosm/l, pH 4,5 – 7,0.</w:t>
      </w:r>
    </w:p>
    <w:p w:rsidR="00CF7478" w:rsidRPr="007738F0" w:rsidRDefault="00CF7478" w:rsidP="00CF7478">
      <w:pPr>
        <w:tabs>
          <w:tab w:val="left" w:pos="567"/>
        </w:tabs>
        <w:spacing w:after="0" w:line="240" w:lineRule="auto"/>
        <w:ind w:left="567" w:hanging="567"/>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b/>
          <w:lang w:eastAsia="lt-LT"/>
        </w:rPr>
        <w:t>Mannitol Fresenius išvaizda ir kiekis pakuotėje</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Mannitol Fresenius  yra skaidrus, bespalvis arba šiek tiek gelsvas</w:t>
      </w:r>
      <w:r>
        <w:rPr>
          <w:rFonts w:ascii="Times New Roman" w:eastAsia="Times New Roman" w:hAnsi="Times New Roman" w:cs="Times New Roman"/>
          <w:lang w:eastAsia="lt-LT"/>
        </w:rPr>
        <w:t xml:space="preserve"> infuzinis tirpalas</w:t>
      </w:r>
      <w:r w:rsidRPr="007738F0">
        <w:rPr>
          <w:rFonts w:ascii="Times New Roman" w:eastAsia="Times New Roman" w:hAnsi="Times New Roman" w:cs="Times New Roman"/>
          <w:lang w:eastAsia="lt-LT"/>
        </w:rPr>
        <w:t>.</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Dėžutėje yra 12 stiklinių buteliukų. Kiekviename jų yra 500 ml infuzinio tirpalo.</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tabs>
          <w:tab w:val="left" w:pos="567"/>
        </w:tabs>
        <w:spacing w:after="0" w:line="240" w:lineRule="auto"/>
        <w:rPr>
          <w:rFonts w:ascii="Times New Roman" w:eastAsia="Times New Roman" w:hAnsi="Times New Roman" w:cs="Times New Roman"/>
          <w:b/>
          <w:lang w:eastAsia="lt-LT"/>
        </w:rPr>
      </w:pPr>
      <w:r w:rsidRPr="00166175">
        <w:rPr>
          <w:rFonts w:ascii="Times New Roman" w:eastAsia="Times New Roman" w:hAnsi="Times New Roman" w:cs="Times New Roman"/>
          <w:b/>
          <w:lang w:eastAsia="lt-LT"/>
        </w:rPr>
        <w:t>Registruotojas</w:t>
      </w:r>
    </w:p>
    <w:p w:rsidR="00CF7478" w:rsidRPr="007738F0" w:rsidRDefault="00CF7478" w:rsidP="00CF7478">
      <w:pPr>
        <w:tabs>
          <w:tab w:val="left" w:pos="567"/>
        </w:tabs>
        <w:spacing w:after="0" w:line="260" w:lineRule="exact"/>
        <w:rPr>
          <w:rFonts w:ascii="Times New Roman" w:eastAsia="Times New Roman" w:hAnsi="Times New Roman" w:cs="Times New Roman"/>
          <w:szCs w:val="20"/>
          <w:lang w:eastAsia="de-DE"/>
        </w:rPr>
      </w:pPr>
      <w:r w:rsidRPr="007738F0">
        <w:rPr>
          <w:rFonts w:ascii="Times New Roman" w:eastAsia="Times New Roman" w:hAnsi="Times New Roman" w:cs="Times New Roman"/>
          <w:szCs w:val="20"/>
          <w:lang w:eastAsia="de-DE"/>
        </w:rPr>
        <w:t>Fresenius Kabi Polska Sp. z o.o.</w:t>
      </w:r>
    </w:p>
    <w:p w:rsidR="00CF7478" w:rsidRPr="007738F0" w:rsidRDefault="00CF7478" w:rsidP="00CF7478">
      <w:pPr>
        <w:tabs>
          <w:tab w:val="left" w:pos="567"/>
        </w:tabs>
        <w:spacing w:after="0" w:line="260" w:lineRule="exact"/>
        <w:rPr>
          <w:rFonts w:ascii="Times New Roman" w:eastAsia="Times New Roman" w:hAnsi="Times New Roman" w:cs="Times New Roman"/>
          <w:szCs w:val="20"/>
          <w:lang w:eastAsia="de-DE"/>
        </w:rPr>
      </w:pPr>
      <w:r w:rsidRPr="007738F0">
        <w:rPr>
          <w:rFonts w:ascii="Times New Roman" w:eastAsia="Times New Roman" w:hAnsi="Times New Roman" w:cs="Times New Roman"/>
          <w:szCs w:val="20"/>
          <w:lang w:eastAsia="de-DE"/>
        </w:rPr>
        <w:t>Al. Jerozolimskie 134</w:t>
      </w:r>
    </w:p>
    <w:p w:rsidR="00CF7478" w:rsidRPr="007738F0" w:rsidRDefault="00CF7478" w:rsidP="00CF7478">
      <w:pPr>
        <w:tabs>
          <w:tab w:val="left" w:pos="567"/>
        </w:tabs>
        <w:spacing w:after="0" w:line="260" w:lineRule="exact"/>
        <w:rPr>
          <w:rFonts w:ascii="Times New Roman" w:eastAsia="Times New Roman" w:hAnsi="Times New Roman" w:cs="Times New Roman"/>
          <w:szCs w:val="20"/>
          <w:lang w:eastAsia="de-DE"/>
        </w:rPr>
      </w:pPr>
      <w:r w:rsidRPr="007738F0">
        <w:rPr>
          <w:rFonts w:ascii="Times New Roman" w:eastAsia="Times New Roman" w:hAnsi="Times New Roman" w:cs="Times New Roman"/>
          <w:szCs w:val="20"/>
          <w:lang w:eastAsia="de-DE"/>
        </w:rPr>
        <w:t>02-305 Warszawa</w:t>
      </w:r>
    </w:p>
    <w:p w:rsidR="00CF7478" w:rsidRPr="007738F0" w:rsidRDefault="00CF7478" w:rsidP="00CF7478">
      <w:pPr>
        <w:tabs>
          <w:tab w:val="left" w:pos="567"/>
        </w:tabs>
        <w:spacing w:after="0" w:line="260" w:lineRule="exact"/>
        <w:rPr>
          <w:rFonts w:ascii="Times New Roman" w:eastAsia="Times New Roman" w:hAnsi="Times New Roman" w:cs="Times New Roman"/>
          <w:szCs w:val="20"/>
          <w:lang w:eastAsia="de-DE"/>
        </w:rPr>
      </w:pPr>
      <w:r w:rsidRPr="007738F0">
        <w:rPr>
          <w:rFonts w:ascii="Times New Roman" w:eastAsia="Times New Roman" w:hAnsi="Times New Roman" w:cs="Times New Roman"/>
          <w:szCs w:val="20"/>
          <w:lang w:eastAsia="de-DE"/>
        </w:rPr>
        <w:t>Lenkija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7738F0" w:rsidRDefault="00CF7478" w:rsidP="00CF7478">
      <w:pPr>
        <w:tabs>
          <w:tab w:val="left" w:pos="567"/>
        </w:tabs>
        <w:spacing w:after="0" w:line="240" w:lineRule="auto"/>
        <w:rPr>
          <w:rFonts w:ascii="Times New Roman" w:eastAsia="Times New Roman" w:hAnsi="Times New Roman" w:cs="Times New Roman"/>
          <w:b/>
          <w:lang w:eastAsia="lt-LT"/>
        </w:rPr>
      </w:pPr>
      <w:r w:rsidRPr="007738F0">
        <w:rPr>
          <w:rFonts w:ascii="Times New Roman" w:eastAsia="Times New Roman" w:hAnsi="Times New Roman" w:cs="Times New Roman"/>
          <w:b/>
          <w:lang w:eastAsia="lt-LT"/>
        </w:rPr>
        <w:t>Gamintojas</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Fresenius Kabi Italia S.r.l.</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Via Camagre, 41</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37063 Isola della Scala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Verona</w:t>
      </w:r>
    </w:p>
    <w:p w:rsidR="00CF7478" w:rsidRDefault="00CF7478" w:rsidP="00CF7478">
      <w:pPr>
        <w:tabs>
          <w:tab w:val="left" w:pos="567"/>
        </w:tabs>
        <w:spacing w:after="0" w:line="240" w:lineRule="auto"/>
        <w:rPr>
          <w:rFonts w:ascii="Times New Roman" w:eastAsia="Times New Roman" w:hAnsi="Times New Roman" w:cs="Times New Roman"/>
          <w:lang w:eastAsia="lt-LT"/>
        </w:rPr>
      </w:pPr>
      <w:r w:rsidRPr="007738F0">
        <w:rPr>
          <w:rFonts w:ascii="Times New Roman" w:eastAsia="Times New Roman" w:hAnsi="Times New Roman" w:cs="Times New Roman"/>
          <w:lang w:eastAsia="lt-LT"/>
        </w:rPr>
        <w:t>Italija</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166175" w:rsidRDefault="00CF7478" w:rsidP="00CF7478">
      <w:pPr>
        <w:numPr>
          <w:ilvl w:val="12"/>
          <w:numId w:val="0"/>
        </w:numPr>
        <w:tabs>
          <w:tab w:val="left" w:pos="567"/>
        </w:tabs>
        <w:spacing w:after="0" w:line="240" w:lineRule="auto"/>
        <w:ind w:right="-2"/>
        <w:rPr>
          <w:rFonts w:ascii="Times New Roman" w:eastAsia="Times New Roman" w:hAnsi="Times New Roman" w:cs="Times New Roman"/>
          <w:noProof/>
          <w:snapToGrid w:val="0"/>
          <w:szCs w:val="24"/>
        </w:rPr>
      </w:pPr>
      <w:r w:rsidRPr="00166175">
        <w:rPr>
          <w:rFonts w:ascii="Times New Roman" w:eastAsia="Times New Roman" w:hAnsi="Times New Roman" w:cs="Times New Roman"/>
          <w:noProof/>
          <w:snapToGrid w:val="0"/>
          <w:szCs w:val="24"/>
        </w:rPr>
        <w:t>Jeigu apie šį vaistą norite sužinoti daugiau, kreipkitės į vietinį registruotojo atstovą.</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Pr="002B7FA2" w:rsidRDefault="00CF7478" w:rsidP="00CF7478">
      <w:pPr>
        <w:pStyle w:val="Header"/>
        <w:tabs>
          <w:tab w:val="left" w:pos="567"/>
        </w:tabs>
        <w:rPr>
          <w:sz w:val="22"/>
          <w:szCs w:val="22"/>
        </w:rPr>
      </w:pPr>
      <w:r w:rsidRPr="002B7FA2">
        <w:rPr>
          <w:sz w:val="22"/>
          <w:szCs w:val="22"/>
        </w:rPr>
        <w:t>UAB „Fresenius Kabi Baltics“</w:t>
      </w:r>
    </w:p>
    <w:p w:rsidR="00CF7478" w:rsidRPr="002B7FA2" w:rsidRDefault="00CF7478" w:rsidP="00CF7478">
      <w:pPr>
        <w:pStyle w:val="Header"/>
        <w:tabs>
          <w:tab w:val="left" w:pos="567"/>
        </w:tabs>
        <w:rPr>
          <w:sz w:val="22"/>
          <w:szCs w:val="22"/>
        </w:rPr>
      </w:pPr>
      <w:r w:rsidRPr="002B7FA2">
        <w:rPr>
          <w:sz w:val="22"/>
          <w:szCs w:val="22"/>
        </w:rPr>
        <w:t>J. Basanavičiaus g. 26</w:t>
      </w:r>
    </w:p>
    <w:p w:rsidR="00CF7478" w:rsidRPr="002B7FA2" w:rsidRDefault="00CF7478" w:rsidP="00CF7478">
      <w:pPr>
        <w:tabs>
          <w:tab w:val="left" w:pos="567"/>
        </w:tabs>
        <w:spacing w:after="0" w:line="240" w:lineRule="auto"/>
        <w:rPr>
          <w:rFonts w:ascii="Times New Roman" w:hAnsi="Times New Roman" w:cs="Times New Roman"/>
        </w:rPr>
      </w:pPr>
      <w:r w:rsidRPr="002B7FA2">
        <w:rPr>
          <w:rFonts w:ascii="Times New Roman" w:hAnsi="Times New Roman" w:cs="Times New Roman"/>
        </w:rPr>
        <w:t>LT-03244, Vilnius</w:t>
      </w:r>
    </w:p>
    <w:p w:rsidR="00CF7478" w:rsidRPr="002B7FA2" w:rsidRDefault="00CF7478" w:rsidP="00CF7478">
      <w:pPr>
        <w:pStyle w:val="Header"/>
        <w:tabs>
          <w:tab w:val="left" w:pos="567"/>
        </w:tabs>
        <w:rPr>
          <w:sz w:val="22"/>
          <w:szCs w:val="22"/>
        </w:rPr>
      </w:pPr>
      <w:r w:rsidRPr="002B7FA2">
        <w:rPr>
          <w:sz w:val="22"/>
          <w:szCs w:val="22"/>
        </w:rPr>
        <w:t>Lietuva</w:t>
      </w:r>
    </w:p>
    <w:p w:rsidR="00CF7478" w:rsidRPr="002B7FA2" w:rsidRDefault="00CF7478" w:rsidP="00CF7478">
      <w:pPr>
        <w:pStyle w:val="Header"/>
        <w:tabs>
          <w:tab w:val="left" w:pos="567"/>
        </w:tabs>
        <w:rPr>
          <w:sz w:val="22"/>
          <w:szCs w:val="22"/>
        </w:rPr>
      </w:pPr>
      <w:r w:rsidRPr="002B7FA2">
        <w:rPr>
          <w:sz w:val="22"/>
          <w:szCs w:val="22"/>
        </w:rPr>
        <w:t>Tel. +370 5 252 3213</w:t>
      </w:r>
    </w:p>
    <w:p w:rsidR="00CF7478" w:rsidRPr="002B7FA2" w:rsidRDefault="00CF7478" w:rsidP="00CF7478">
      <w:pPr>
        <w:pStyle w:val="Header"/>
        <w:tabs>
          <w:tab w:val="left" w:pos="567"/>
        </w:tabs>
        <w:rPr>
          <w:b/>
          <w:sz w:val="22"/>
          <w:szCs w:val="22"/>
        </w:rPr>
      </w:pPr>
      <w:r w:rsidRPr="002B7FA2">
        <w:rPr>
          <w:sz w:val="22"/>
          <w:szCs w:val="22"/>
        </w:rPr>
        <w:t>Faksas +370 5 260 8696</w:t>
      </w:r>
    </w:p>
    <w:p w:rsidR="00CF7478" w:rsidRPr="002B7FA2" w:rsidRDefault="00CF7478" w:rsidP="00CF7478">
      <w:pPr>
        <w:tabs>
          <w:tab w:val="left" w:pos="567"/>
        </w:tabs>
        <w:spacing w:after="0" w:line="240" w:lineRule="auto"/>
        <w:rPr>
          <w:rFonts w:ascii="Times New Roman" w:hAnsi="Times New Roman"/>
        </w:rPr>
      </w:pPr>
    </w:p>
    <w:p w:rsidR="00CF7478" w:rsidRPr="002B7FA2" w:rsidRDefault="00CF7478" w:rsidP="00CF7478">
      <w:pPr>
        <w:tabs>
          <w:tab w:val="left" w:pos="567"/>
        </w:tabs>
        <w:spacing w:after="0" w:line="240" w:lineRule="auto"/>
        <w:rPr>
          <w:rFonts w:ascii="Times New Roman" w:hAnsi="Times New Roman"/>
          <w:b/>
        </w:rPr>
      </w:pPr>
      <w:r w:rsidRPr="002B7FA2">
        <w:rPr>
          <w:rFonts w:ascii="Times New Roman" w:hAnsi="Times New Roman"/>
          <w:b/>
        </w:rPr>
        <w:t>Šis pakuotės lapelis paskutinį kartą peržiūrėtas 2020-11-24.</w:t>
      </w:r>
    </w:p>
    <w:p w:rsidR="00CF7478" w:rsidRPr="007738F0" w:rsidRDefault="00CF7478" w:rsidP="00CF7478">
      <w:pPr>
        <w:tabs>
          <w:tab w:val="left" w:pos="567"/>
        </w:tabs>
        <w:spacing w:after="0" w:line="240" w:lineRule="auto"/>
        <w:rPr>
          <w:rFonts w:ascii="Times New Roman" w:eastAsia="Times New Roman" w:hAnsi="Times New Roman" w:cs="Times New Roman"/>
          <w:lang w:eastAsia="lt-LT"/>
        </w:rPr>
      </w:pPr>
    </w:p>
    <w:p w:rsidR="00CF7478" w:rsidRDefault="00CF7478" w:rsidP="00CF7478">
      <w:pPr>
        <w:numPr>
          <w:ilvl w:val="12"/>
          <w:numId w:val="0"/>
        </w:numPr>
        <w:tabs>
          <w:tab w:val="left" w:pos="567"/>
        </w:tabs>
        <w:spacing w:after="0" w:line="240" w:lineRule="auto"/>
        <w:ind w:right="-2"/>
        <w:rPr>
          <w:rFonts w:ascii="Times New Roman" w:eastAsia="Times New Roman" w:hAnsi="Times New Roman" w:cs="Times New Roman"/>
          <w:snapToGrid w:val="0"/>
          <w:szCs w:val="20"/>
        </w:rPr>
      </w:pPr>
      <w:r w:rsidRPr="00166175">
        <w:rPr>
          <w:rFonts w:ascii="Times New Roman" w:eastAsia="Times New Roman" w:hAnsi="Times New Roman" w:cs="Times New Roman"/>
          <w:snapToGrid w:val="0"/>
          <w:szCs w:val="20"/>
        </w:rPr>
        <w:t xml:space="preserve">Išsami informacija apie šį </w:t>
      </w:r>
      <w:r w:rsidRPr="00166175">
        <w:rPr>
          <w:rFonts w:ascii="Times New Roman" w:eastAsia="Times New Roman" w:hAnsi="Times New Roman" w:cs="Times New Roman"/>
          <w:snapToGrid w:val="0"/>
          <w:szCs w:val="24"/>
        </w:rPr>
        <w:t>vaistą</w:t>
      </w:r>
      <w:r w:rsidRPr="00166175">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166175">
        <w:rPr>
          <w:rFonts w:ascii="Times New Roman" w:eastAsia="Times New Roman" w:hAnsi="Times New Roman" w:cs="Times New Roman"/>
          <w:i/>
          <w:snapToGrid w:val="0"/>
          <w:szCs w:val="24"/>
        </w:rPr>
        <w:t xml:space="preserve"> </w:t>
      </w:r>
      <w:hyperlink r:id="rId7" w:history="1">
        <w:r w:rsidRPr="00166175">
          <w:rPr>
            <w:rFonts w:ascii="Times New Roman" w:eastAsia="SimSun" w:hAnsi="Times New Roman" w:cs="Times New Roman"/>
            <w:snapToGrid w:val="0"/>
            <w:color w:val="0000FF"/>
            <w:szCs w:val="20"/>
            <w:u w:val="single"/>
          </w:rPr>
          <w:t>http://www.vvkt.lt/</w:t>
        </w:r>
      </w:hyperlink>
      <w:r w:rsidRPr="00166175">
        <w:rPr>
          <w:rFonts w:ascii="Times New Roman" w:eastAsia="Times New Roman" w:hAnsi="Times New Roman" w:cs="Times New Roman"/>
          <w:snapToGrid w:val="0"/>
          <w:szCs w:val="20"/>
        </w:rPr>
        <w:t>.</w:t>
      </w:r>
    </w:p>
    <w:p w:rsidR="00CF7478" w:rsidRDefault="00CF7478"/>
    <w:sectPr w:rsidR="00CF747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78"/>
    <w:rsid w:val="00C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218F99-A657-45B7-B570-798CADE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7478"/>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CF7478"/>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a.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hyperlink" Target="http://www.vvkt.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2083</Words>
  <Characters>11875</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2021-04-19T07:04:00Z</dcterms:created>
  <dcterms:modified xsi:type="dcterms:W3CDTF">2021-04-19T07:04:00Z</dcterms:modified>
</cp:coreProperties>
</file>