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5C9" w:rsidRDefault="004A45C9" w:rsidP="004A45C9">
      <w:pPr>
        <w:spacing w:after="0" w:line="240" w:lineRule="auto"/>
        <w:jc w:val="center"/>
        <w:outlineLvl w:val="0"/>
        <w:rPr>
          <w:rFonts w:ascii="Times New Roman" w:hAnsi="Times New Roman" w:cs="Times New Roman"/>
          <w:b/>
          <w:lang w:val="lt-LT"/>
        </w:rPr>
      </w:pPr>
      <w:r>
        <w:rPr>
          <w:rFonts w:ascii="Times New Roman" w:hAnsi="Times New Roman" w:cs="Times New Roman"/>
          <w:b/>
          <w:lang w:val="lt-LT"/>
        </w:rPr>
        <w:t>Pakuotės lapelis: informacija</w:t>
      </w:r>
      <w:r>
        <w:rPr>
          <w:rFonts w:ascii="Times New Roman" w:hAnsi="Times New Roman" w:cs="Times New Roman"/>
          <w:lang w:val="lt-LT"/>
        </w:rPr>
        <w:t xml:space="preserve"> </w:t>
      </w:r>
      <w:r>
        <w:rPr>
          <w:rFonts w:ascii="Times New Roman" w:hAnsi="Times New Roman" w:cs="Times New Roman"/>
          <w:b/>
          <w:lang w:val="lt-LT"/>
        </w:rPr>
        <w:t>vartotojui</w:t>
      </w:r>
    </w:p>
    <w:p w:rsidR="004A45C9" w:rsidRDefault="004A45C9" w:rsidP="004A45C9">
      <w:pPr>
        <w:spacing w:after="0" w:line="240" w:lineRule="auto"/>
        <w:jc w:val="center"/>
        <w:outlineLvl w:val="0"/>
        <w:rPr>
          <w:rFonts w:ascii="Times New Roman" w:hAnsi="Times New Roman" w:cs="Times New Roman"/>
          <w:b/>
          <w:lang w:val="lt-LT"/>
        </w:rPr>
      </w:pPr>
    </w:p>
    <w:p w:rsidR="004A45C9" w:rsidRDefault="004A45C9" w:rsidP="004A45C9">
      <w:pPr>
        <w:spacing w:after="0" w:line="240" w:lineRule="auto"/>
        <w:jc w:val="center"/>
        <w:rPr>
          <w:rFonts w:ascii="Times New Roman" w:hAnsi="Times New Roman" w:cs="Times New Roman"/>
          <w:b/>
          <w:lang w:val="lt-LT"/>
        </w:rPr>
      </w:pPr>
      <w:r>
        <w:rPr>
          <w:rFonts w:ascii="Times New Roman" w:hAnsi="Times New Roman" w:cs="Times New Roman"/>
          <w:b/>
          <w:lang w:val="lt-LT"/>
        </w:rPr>
        <w:t>Afrin 0,5 mg/ml nosies purškalas (tirpalas)</w:t>
      </w:r>
    </w:p>
    <w:p w:rsidR="004A45C9" w:rsidRDefault="004A45C9" w:rsidP="004A45C9">
      <w:pPr>
        <w:spacing w:after="0" w:line="240" w:lineRule="auto"/>
        <w:jc w:val="center"/>
        <w:rPr>
          <w:rFonts w:ascii="Times New Roman" w:hAnsi="Times New Roman" w:cs="Times New Roman"/>
          <w:b/>
          <w:lang w:val="lt-LT"/>
        </w:rPr>
      </w:pPr>
      <w:r>
        <w:rPr>
          <w:rFonts w:ascii="Times New Roman" w:hAnsi="Times New Roman" w:cs="Times New Roman"/>
          <w:b/>
          <w:lang w:val="lt-LT"/>
        </w:rPr>
        <w:t>Afrin Menthol 0,5 mg/ml nosies purškalas (tirpalas)</w:t>
      </w:r>
    </w:p>
    <w:p w:rsidR="004A45C9" w:rsidRDefault="004A45C9" w:rsidP="004A45C9">
      <w:pPr>
        <w:spacing w:after="0" w:line="240" w:lineRule="auto"/>
        <w:jc w:val="center"/>
        <w:rPr>
          <w:rFonts w:ascii="Times New Roman" w:hAnsi="Times New Roman" w:cs="Times New Roman"/>
          <w:lang w:val="lt-LT"/>
        </w:rPr>
      </w:pPr>
      <w:r>
        <w:rPr>
          <w:rFonts w:ascii="Times New Roman" w:hAnsi="Times New Roman" w:cs="Times New Roman"/>
          <w:lang w:val="lt-LT"/>
        </w:rPr>
        <w:t>Oksimetazolino hidrochloridas</w:t>
      </w:r>
    </w:p>
    <w:p w:rsidR="004A45C9" w:rsidRDefault="004A45C9" w:rsidP="004A45C9">
      <w:p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b/>
          <w:lang w:val="lt-LT"/>
        </w:rPr>
      </w:pPr>
      <w:r>
        <w:rPr>
          <w:rFonts w:ascii="Times New Roman" w:hAnsi="Times New Roman" w:cs="Times New Roman"/>
          <w:b/>
          <w:lang w:val="lt-LT"/>
        </w:rPr>
        <w:t>Atidžiai perskaitykite visą šį lapelį, prieš pradėdami vartoti šį vaistą, nes jame pateikiama Jums svarbi informacija.</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Visada vartokite šį vaistą tiksliai kaip aprašyta šiame lapelyje arba kaip nurodė gydytojas, vaistininkas arba slaugytojas.</w:t>
      </w:r>
    </w:p>
    <w:p w:rsidR="004A45C9" w:rsidRDefault="004A45C9" w:rsidP="004A45C9">
      <w:pPr>
        <w:numPr>
          <w:ilvl w:val="0"/>
          <w:numId w:val="1"/>
        </w:numPr>
        <w:tabs>
          <w:tab w:val="left" w:pos="567"/>
        </w:tabs>
        <w:spacing w:after="0" w:line="260" w:lineRule="exact"/>
        <w:ind w:left="567" w:hanging="567"/>
        <w:rPr>
          <w:rFonts w:ascii="Times New Roman" w:hAnsi="Times New Roman" w:cs="Times New Roman"/>
          <w:lang w:val="lt-LT"/>
        </w:rPr>
      </w:pPr>
      <w:r>
        <w:rPr>
          <w:rFonts w:ascii="Times New Roman" w:hAnsi="Times New Roman" w:cs="Times New Roman"/>
          <w:lang w:val="lt-LT"/>
        </w:rPr>
        <w:t>Neišmeskite šio lapelio, nes vėl gali prireikti jį perskaityti.</w:t>
      </w:r>
    </w:p>
    <w:p w:rsidR="004A45C9" w:rsidRDefault="004A45C9" w:rsidP="004A45C9">
      <w:pPr>
        <w:numPr>
          <w:ilvl w:val="0"/>
          <w:numId w:val="1"/>
        </w:numPr>
        <w:tabs>
          <w:tab w:val="left" w:pos="567"/>
        </w:tabs>
        <w:spacing w:after="0" w:line="260" w:lineRule="exact"/>
        <w:ind w:left="567" w:hanging="567"/>
        <w:rPr>
          <w:rFonts w:ascii="Times New Roman" w:hAnsi="Times New Roman" w:cs="Times New Roman"/>
          <w:lang w:val="lt-LT"/>
        </w:rPr>
      </w:pPr>
      <w:r>
        <w:rPr>
          <w:rFonts w:ascii="Times New Roman" w:hAnsi="Times New Roman" w:cs="Times New Roman"/>
          <w:lang w:val="lt-LT"/>
        </w:rPr>
        <w:t>Jeigu norite sužinoti daugiau arba pasitarti, kreipkitės į vaistininką.</w:t>
      </w:r>
    </w:p>
    <w:p w:rsidR="004A45C9" w:rsidRDefault="004A45C9" w:rsidP="004A45C9">
      <w:pPr>
        <w:numPr>
          <w:ilvl w:val="0"/>
          <w:numId w:val="1"/>
        </w:numPr>
        <w:tabs>
          <w:tab w:val="left" w:pos="567"/>
        </w:tabs>
        <w:spacing w:after="0" w:line="260" w:lineRule="exact"/>
        <w:ind w:left="567" w:hanging="567"/>
        <w:rPr>
          <w:rFonts w:ascii="Times New Roman" w:hAnsi="Times New Roman" w:cs="Times New Roman"/>
          <w:lang w:val="lt-LT"/>
        </w:rPr>
      </w:pPr>
      <w:r>
        <w:rPr>
          <w:rFonts w:ascii="Times New Roman" w:hAnsi="Times New Roman" w:cs="Times New Roman"/>
          <w:lang w:val="lt-LT"/>
        </w:rPr>
        <w:t>Jeigu pasireiškė šalutinis poveikis (net jeigu jis šiame lapelyje nenurodytas), kreipkitės į gydytoją, vaistininką arba slaugytoją. Žr. 4 skyrių.</w:t>
      </w:r>
    </w:p>
    <w:p w:rsidR="004A45C9" w:rsidRDefault="004A45C9" w:rsidP="004A45C9">
      <w:pPr>
        <w:numPr>
          <w:ilvl w:val="0"/>
          <w:numId w:val="1"/>
        </w:numPr>
        <w:tabs>
          <w:tab w:val="left" w:pos="567"/>
        </w:tabs>
        <w:spacing w:after="0" w:line="260" w:lineRule="exact"/>
        <w:ind w:left="567" w:hanging="567"/>
        <w:rPr>
          <w:rFonts w:ascii="Times New Roman" w:hAnsi="Times New Roman" w:cs="Times New Roman"/>
          <w:lang w:val="lt-LT"/>
        </w:rPr>
      </w:pPr>
      <w:r>
        <w:rPr>
          <w:rFonts w:ascii="Times New Roman" w:hAnsi="Times New Roman" w:cs="Times New Roman"/>
          <w:lang w:val="lt-LT"/>
        </w:rPr>
        <w:t>Jeigu per 7 dienas Jūsų savijauta nepagerėjo arba net pablogėjo, kreipkitės į gydytoją.</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keepNext/>
        <w:tabs>
          <w:tab w:val="left" w:pos="567"/>
        </w:tabs>
        <w:spacing w:after="0" w:line="260" w:lineRule="exact"/>
        <w:jc w:val="both"/>
        <w:outlineLvl w:val="3"/>
        <w:rPr>
          <w:rFonts w:ascii="Times New Roman" w:hAnsi="Times New Roman" w:cs="Times New Roman"/>
          <w:b/>
          <w:lang w:val="lt-LT"/>
        </w:rPr>
      </w:pPr>
      <w:r>
        <w:rPr>
          <w:rFonts w:ascii="Times New Roman" w:hAnsi="Times New Roman" w:cs="Times New Roman"/>
          <w:b/>
          <w:lang w:val="lt-LT"/>
        </w:rPr>
        <w:t>Apie ką rašoma šiame lapelyje?</w:t>
      </w:r>
    </w:p>
    <w:p w:rsidR="004A45C9" w:rsidRDefault="004A45C9" w:rsidP="004A45C9">
      <w:pPr>
        <w:keepNext/>
        <w:tabs>
          <w:tab w:val="left" w:pos="567"/>
        </w:tabs>
        <w:spacing w:after="0" w:line="260" w:lineRule="exact"/>
        <w:jc w:val="both"/>
        <w:outlineLvl w:val="3"/>
        <w:rPr>
          <w:rFonts w:ascii="Times New Roman" w:hAnsi="Times New Roman" w:cs="Times New Roman"/>
          <w:b/>
          <w:lang w:val="lt-LT"/>
        </w:rPr>
      </w:pP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1.</w:t>
      </w:r>
      <w:r>
        <w:rPr>
          <w:rFonts w:ascii="Times New Roman" w:hAnsi="Times New Roman" w:cs="Times New Roman"/>
          <w:lang w:val="lt-LT"/>
        </w:rPr>
        <w:tab/>
        <w:t>Kas yra Afrin ir kam jis vartojamas</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2.</w:t>
      </w:r>
      <w:r>
        <w:rPr>
          <w:rFonts w:ascii="Times New Roman" w:hAnsi="Times New Roman" w:cs="Times New Roman"/>
          <w:lang w:val="lt-LT"/>
        </w:rPr>
        <w:tab/>
        <w:t>Kas žinotina prieš vartojant Afrin</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3.</w:t>
      </w:r>
      <w:r>
        <w:rPr>
          <w:rFonts w:ascii="Times New Roman" w:hAnsi="Times New Roman" w:cs="Times New Roman"/>
          <w:lang w:val="lt-LT"/>
        </w:rPr>
        <w:tab/>
        <w:t>Kaip vartoti Afrin</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4.</w:t>
      </w:r>
      <w:r>
        <w:rPr>
          <w:rFonts w:ascii="Times New Roman" w:hAnsi="Times New Roman" w:cs="Times New Roman"/>
          <w:lang w:val="lt-LT"/>
        </w:rPr>
        <w:tab/>
        <w:t>Galimas šalutinis poveikis</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5.</w:t>
      </w:r>
      <w:r>
        <w:rPr>
          <w:rFonts w:ascii="Times New Roman" w:hAnsi="Times New Roman" w:cs="Times New Roman"/>
          <w:lang w:val="lt-LT"/>
        </w:rPr>
        <w:tab/>
        <w:t>Kaip laikyti Afrin</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6.</w:t>
      </w:r>
      <w:r>
        <w:rPr>
          <w:rFonts w:ascii="Times New Roman" w:hAnsi="Times New Roman" w:cs="Times New Roman"/>
          <w:lang w:val="lt-LT"/>
        </w:rPr>
        <w:tab/>
        <w:t>Pakuotės turinys ir kita informacija</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ind w:left="567" w:hanging="567"/>
        <w:outlineLvl w:val="0"/>
        <w:rPr>
          <w:rFonts w:ascii="Times New Roman" w:hAnsi="Times New Roman" w:cs="Times New Roman"/>
          <w:b/>
          <w:caps/>
          <w:lang w:val="lt-LT"/>
        </w:rPr>
      </w:pPr>
      <w:r>
        <w:rPr>
          <w:rFonts w:ascii="Times New Roman" w:hAnsi="Times New Roman" w:cs="Times New Roman"/>
          <w:b/>
          <w:lang w:val="lt-LT"/>
        </w:rPr>
        <w:t>1.</w:t>
      </w:r>
      <w:r>
        <w:rPr>
          <w:rFonts w:ascii="Times New Roman" w:hAnsi="Times New Roman" w:cs="Times New Roman"/>
          <w:b/>
          <w:lang w:val="lt-LT"/>
        </w:rPr>
        <w:tab/>
        <w:t>Kas yra Afrin ir kam jis vartojamas</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Pilnas šio vaistinio preparato pavadinimas yra</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Afrin 0,5 mg/ml nosies purškalas (tirpalas)</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Afrin Menthol 0,5 mg/ml nosies purškalas (tirpalas)</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b/>
          <w:u w:val="single"/>
          <w:lang w:val="lt-LT"/>
        </w:rPr>
      </w:pPr>
      <w:r>
        <w:rPr>
          <w:rFonts w:ascii="Times New Roman" w:hAnsi="Times New Roman" w:cs="Times New Roman"/>
          <w:b/>
          <w:u w:val="single"/>
          <w:lang w:val="lt-LT"/>
        </w:rPr>
        <w:t>Kas yra Afrin</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nosies purškalo (tirpalo) sudėtyje yra veikliosios medžiagos oksimetazolino hidrochlorido.</w:t>
      </w:r>
    </w:p>
    <w:p w:rsidR="004A45C9" w:rsidRDefault="004A45C9" w:rsidP="004A45C9">
      <w:pPr>
        <w:numPr>
          <w:ilvl w:val="12"/>
          <w:numId w:val="0"/>
        </w:numPr>
        <w:spacing w:after="0" w:line="240" w:lineRule="auto"/>
        <w:rPr>
          <w:rFonts w:ascii="Times New Roman" w:hAnsi="Times New Roman" w:cs="Times New Roman"/>
          <w:b/>
          <w:u w:val="single"/>
          <w:lang w:val="lt-LT"/>
        </w:rPr>
      </w:pPr>
    </w:p>
    <w:p w:rsidR="004A45C9" w:rsidRDefault="004A45C9" w:rsidP="004A45C9">
      <w:pPr>
        <w:numPr>
          <w:ilvl w:val="12"/>
          <w:numId w:val="0"/>
        </w:numPr>
        <w:spacing w:after="0" w:line="240" w:lineRule="auto"/>
        <w:rPr>
          <w:rFonts w:ascii="Times New Roman" w:hAnsi="Times New Roman" w:cs="Times New Roman"/>
          <w:b/>
          <w:u w:val="single"/>
          <w:lang w:val="lt-LT"/>
        </w:rPr>
      </w:pPr>
      <w:r>
        <w:rPr>
          <w:rFonts w:ascii="Times New Roman" w:hAnsi="Times New Roman" w:cs="Times New Roman"/>
          <w:b/>
          <w:u w:val="single"/>
          <w:lang w:val="lt-LT"/>
        </w:rPr>
        <w:t>Kaip veikia Afrin</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yra gleivinę sutraukiantis vaistinis preparatas, kuris mažina nosies užsikimšimą sutraukdamas kraujagysles nosyje. Jis suveikia per keletą minučių ir jo poveikis trunka valandas.</w:t>
      </w:r>
    </w:p>
    <w:p w:rsidR="004A45C9" w:rsidRDefault="004A45C9" w:rsidP="004A45C9">
      <w:pPr>
        <w:numPr>
          <w:ilvl w:val="12"/>
          <w:numId w:val="0"/>
        </w:numPr>
        <w:spacing w:after="0" w:line="240" w:lineRule="auto"/>
        <w:rPr>
          <w:rFonts w:ascii="Times New Roman" w:hAnsi="Times New Roman" w:cs="Times New Roman"/>
          <w:b/>
          <w:u w:val="single"/>
          <w:lang w:val="lt-LT"/>
        </w:rPr>
      </w:pPr>
    </w:p>
    <w:p w:rsidR="004A45C9" w:rsidRDefault="004A45C9" w:rsidP="004A45C9">
      <w:pPr>
        <w:numPr>
          <w:ilvl w:val="12"/>
          <w:numId w:val="0"/>
        </w:numPr>
        <w:spacing w:after="0" w:line="240" w:lineRule="auto"/>
        <w:rPr>
          <w:rFonts w:ascii="Times New Roman" w:hAnsi="Times New Roman" w:cs="Times New Roman"/>
          <w:b/>
          <w:u w:val="single"/>
          <w:lang w:val="lt-LT"/>
        </w:rPr>
      </w:pPr>
      <w:r>
        <w:rPr>
          <w:rFonts w:ascii="Times New Roman" w:hAnsi="Times New Roman" w:cs="Times New Roman"/>
          <w:b/>
          <w:u w:val="single"/>
          <w:lang w:val="lt-LT"/>
        </w:rPr>
        <w:t>Kada vartoti Afrin</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sumažina nosies užgulimo simptomus, susijusius su šienlige, įprastu peršalimu ar sinusitu. Jį galima vartoti kas 12 valandų.</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Jeigu per 7 dienas Jūsų savijauta nepagerėjo arba net pablogėjo, kreipkitės į gydytoją.</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ind w:left="567" w:hanging="567"/>
        <w:outlineLvl w:val="0"/>
        <w:rPr>
          <w:rFonts w:ascii="Times New Roman" w:hAnsi="Times New Roman" w:cs="Times New Roman"/>
          <w:b/>
          <w:caps/>
          <w:lang w:val="lt-LT"/>
        </w:rPr>
      </w:pPr>
      <w:r>
        <w:rPr>
          <w:rFonts w:ascii="Times New Roman" w:hAnsi="Times New Roman" w:cs="Times New Roman"/>
          <w:b/>
          <w:lang w:val="lt-LT"/>
        </w:rPr>
        <w:t>2.</w:t>
      </w:r>
      <w:r>
        <w:rPr>
          <w:rFonts w:ascii="Times New Roman" w:hAnsi="Times New Roman" w:cs="Times New Roman"/>
          <w:b/>
          <w:lang w:val="lt-LT"/>
        </w:rPr>
        <w:tab/>
        <w:t>Kas žinotina prieš vartojant Afrin</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b/>
          <w:lang w:val="lt-LT"/>
        </w:rPr>
      </w:pPr>
      <w:r>
        <w:rPr>
          <w:rFonts w:ascii="Times New Roman" w:hAnsi="Times New Roman" w:cs="Times New Roman"/>
          <w:b/>
          <w:lang w:val="lt-LT"/>
        </w:rPr>
        <w:t>Afrin vartoti negalima</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yra alergija oksimetazolino hidrochloridui arba bet kuriai pagalbinei šio vaisto medžiagai (jos išvardytos 6 skyriuje);</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vartojate monoaminooksidazės inhibitorius (MAO inhibitorius, kuriais gydoma Parkinsono liga arba depresija). MAO inhibitoriai gali padidinti oksimetazolino kraujagyslių sutraukiamąjį poveikį;</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sergate uždaro kampo glaukoma (padidėjusiu akispūdžiu);</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Jums buvo atlikta transsfenoidalinė hipofizektomija (operacijos būdu pašalinta posmegeninė liauka);</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Jums yra nosies prieangio odos ir gleivinės uždegimas ir ji yra pasidengusi plutele (sausasis rinitas);</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Jūs sergate ūmine širdies vainikinių kraujagyslių liga arba širdine astma.</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b/>
          <w:lang w:val="lt-LT"/>
        </w:rPr>
      </w:pPr>
      <w:r>
        <w:rPr>
          <w:rFonts w:ascii="Times New Roman" w:hAnsi="Times New Roman" w:cs="Times New Roman"/>
          <w:b/>
          <w:lang w:val="lt-LT"/>
        </w:rPr>
        <w:t>Įspėjimai ir atsargumo priemonės</w:t>
      </w:r>
    </w:p>
    <w:p w:rsidR="004A45C9" w:rsidRDefault="004A45C9" w:rsidP="004A45C9">
      <w:pPr>
        <w:numPr>
          <w:ilvl w:val="12"/>
          <w:numId w:val="0"/>
        </w:numPr>
        <w:spacing w:after="0" w:line="240" w:lineRule="auto"/>
        <w:ind w:left="567" w:hanging="567"/>
        <w:rPr>
          <w:rFonts w:ascii="Times New Roman" w:hAnsi="Times New Roman" w:cs="Times New Roman"/>
          <w:lang w:val="lt-LT"/>
        </w:rPr>
      </w:pPr>
      <w:r>
        <w:rPr>
          <w:rFonts w:ascii="Times New Roman" w:hAnsi="Times New Roman" w:cs="Times New Roman"/>
          <w:lang w:val="lt-LT"/>
        </w:rPr>
        <w:t>Pasitarkite su gydytoju, jeigu Jūs sergate:</w:t>
      </w:r>
    </w:p>
    <w:p w:rsidR="004A45C9" w:rsidRDefault="004A45C9" w:rsidP="004A45C9">
      <w:pPr>
        <w:numPr>
          <w:ilvl w:val="0"/>
          <w:numId w:val="2"/>
        </w:numPr>
        <w:spacing w:after="0" w:line="240" w:lineRule="auto"/>
        <w:ind w:left="567" w:hanging="567"/>
        <w:rPr>
          <w:rFonts w:ascii="Times New Roman" w:hAnsi="Times New Roman" w:cs="Times New Roman"/>
          <w:lang w:val="lt-LT"/>
        </w:rPr>
      </w:pPr>
      <w:r>
        <w:rPr>
          <w:rFonts w:ascii="Times New Roman" w:hAnsi="Times New Roman" w:cs="Times New Roman"/>
          <w:lang w:val="lt-LT"/>
        </w:rPr>
        <w:t>koronarine širdies liga;</w:t>
      </w:r>
    </w:p>
    <w:p w:rsidR="004A45C9" w:rsidRDefault="004A45C9" w:rsidP="004A45C9">
      <w:pPr>
        <w:numPr>
          <w:ilvl w:val="0"/>
          <w:numId w:val="2"/>
        </w:numPr>
        <w:spacing w:after="0" w:line="240" w:lineRule="auto"/>
        <w:ind w:left="567" w:hanging="567"/>
        <w:rPr>
          <w:rFonts w:ascii="Times New Roman" w:hAnsi="Times New Roman" w:cs="Times New Roman"/>
          <w:lang w:val="lt-LT"/>
        </w:rPr>
      </w:pPr>
      <w:r>
        <w:rPr>
          <w:rFonts w:ascii="Times New Roman" w:hAnsi="Times New Roman" w:cs="Times New Roman"/>
          <w:lang w:val="lt-LT"/>
        </w:rPr>
        <w:t>arterine hipertenzija (padidėjęs kraujospūdis);</w:t>
      </w:r>
    </w:p>
    <w:p w:rsidR="004A45C9" w:rsidRDefault="004A45C9" w:rsidP="004A45C9">
      <w:pPr>
        <w:numPr>
          <w:ilvl w:val="0"/>
          <w:numId w:val="2"/>
        </w:numPr>
        <w:spacing w:after="0" w:line="240" w:lineRule="auto"/>
        <w:ind w:left="567" w:hanging="567"/>
        <w:rPr>
          <w:rFonts w:ascii="Times New Roman" w:hAnsi="Times New Roman" w:cs="Times New Roman"/>
          <w:lang w:val="lt-LT"/>
        </w:rPr>
      </w:pPr>
      <w:r>
        <w:rPr>
          <w:rFonts w:ascii="Times New Roman" w:hAnsi="Times New Roman" w:cs="Times New Roman"/>
          <w:lang w:val="lt-LT"/>
        </w:rPr>
        <w:t>hipertiroidizmu (pernelyg sustiprėjusia skydliaukės funkcija);</w:t>
      </w:r>
    </w:p>
    <w:p w:rsidR="004A45C9" w:rsidRDefault="004A45C9" w:rsidP="004A45C9">
      <w:pPr>
        <w:numPr>
          <w:ilvl w:val="0"/>
          <w:numId w:val="2"/>
        </w:numPr>
        <w:spacing w:after="0" w:line="240" w:lineRule="auto"/>
        <w:ind w:left="567" w:hanging="567"/>
        <w:rPr>
          <w:rFonts w:ascii="Times New Roman" w:hAnsi="Times New Roman" w:cs="Times New Roman"/>
          <w:lang w:val="lt-LT"/>
        </w:rPr>
      </w:pPr>
      <w:r>
        <w:rPr>
          <w:rFonts w:ascii="Times New Roman" w:hAnsi="Times New Roman" w:cs="Times New Roman"/>
          <w:lang w:val="lt-LT"/>
        </w:rPr>
        <w:t>cukriniu diabetu;</w:t>
      </w:r>
    </w:p>
    <w:p w:rsidR="004A45C9" w:rsidRDefault="004A45C9" w:rsidP="004A45C9">
      <w:pPr>
        <w:numPr>
          <w:ilvl w:val="0"/>
          <w:numId w:val="2"/>
        </w:numPr>
        <w:spacing w:after="0" w:line="240" w:lineRule="auto"/>
        <w:ind w:left="567" w:hanging="567"/>
        <w:rPr>
          <w:rFonts w:ascii="Times New Roman" w:hAnsi="Times New Roman" w:cs="Times New Roman"/>
          <w:lang w:val="lt-LT"/>
        </w:rPr>
      </w:pPr>
      <w:r>
        <w:rPr>
          <w:rFonts w:ascii="Times New Roman" w:hAnsi="Times New Roman" w:cs="Times New Roman"/>
          <w:lang w:val="lt-LT"/>
        </w:rPr>
        <w:t>prostatos padidėjimu, dėl kurio sunku pasišlapinti.</w:t>
      </w:r>
    </w:p>
    <w:p w:rsidR="004A45C9" w:rsidRDefault="004A45C9" w:rsidP="004A45C9">
      <w:p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Vartojamas ilgesnį laiką Afrin gali sąlygoti nosies užsikimšimą. Jo nerekomenduojama vartoti ilgiau kaip vieną savaitę. Jeigu simptomai pasunkėja arba per 7 paras nepalengvėjo, kreipkitės į gydytoją.</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b/>
          <w:lang w:val="lt-LT"/>
        </w:rPr>
      </w:pPr>
      <w:r>
        <w:rPr>
          <w:rFonts w:ascii="Times New Roman" w:hAnsi="Times New Roman" w:cs="Times New Roman"/>
          <w:b/>
          <w:lang w:val="lt-LT"/>
        </w:rPr>
        <w:t>Vaikams</w:t>
      </w: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Jaunesniam kaip 6 metų vaikui Afrin vartoti negalima (žiūrėkite 3 skyrių „Kaip vartoti Afrin“).</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b/>
          <w:lang w:val="lt-LT"/>
        </w:rPr>
      </w:pPr>
      <w:r>
        <w:rPr>
          <w:rFonts w:ascii="Times New Roman" w:hAnsi="Times New Roman" w:cs="Times New Roman"/>
          <w:b/>
          <w:lang w:val="lt-LT"/>
        </w:rPr>
        <w:t>Kiti vaistai ir Afrin</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Jeigu vartojate arba neseniai vartojote kitų vaistų arba dėl to nesate tikri, įskaitant įsigytus be recepto, pasakykite gydytojui, vaistininkui arba slaugytojui.</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Kraujagyslių sutraukiamąjį oksimetazolino poveikį gali sustiprinti kartu vartojami:</w:t>
      </w:r>
    </w:p>
    <w:p w:rsidR="004A45C9" w:rsidRDefault="004A45C9" w:rsidP="004A45C9">
      <w:pPr>
        <w:spacing w:after="0" w:line="240" w:lineRule="auto"/>
        <w:ind w:left="567" w:hanging="567"/>
        <w:rPr>
          <w:rFonts w:ascii="Times New Roman" w:hAnsi="Times New Roman" w:cs="Times New Roman"/>
          <w:b/>
          <w:caps/>
          <w:lang w:val="lt-LT"/>
        </w:rPr>
      </w:pPr>
      <w:r>
        <w:rPr>
          <w:rFonts w:ascii="Times New Roman" w:hAnsi="Times New Roman" w:cs="Times New Roman"/>
          <w:lang w:val="lt-LT"/>
        </w:rPr>
        <w:t>-</w:t>
      </w:r>
      <w:r>
        <w:rPr>
          <w:rFonts w:ascii="Times New Roman" w:hAnsi="Times New Roman" w:cs="Times New Roman"/>
          <w:lang w:val="lt-LT"/>
        </w:rPr>
        <w:tab/>
        <w:t>kai kurių grupių antidepresantai, būtent tricikliai antidepresantai, maprotilinas, monoaminooksidazės (MAO) inhibitoriai.</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b/>
          <w:lang w:val="lt-LT"/>
        </w:rPr>
      </w:pPr>
      <w:r>
        <w:rPr>
          <w:rFonts w:ascii="Times New Roman" w:hAnsi="Times New Roman" w:cs="Times New Roman"/>
          <w:b/>
          <w:lang w:val="lt-LT"/>
        </w:rPr>
        <w:t>Nėštumas ir žindymo laikotarpis</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i/>
          <w:lang w:val="lt-LT"/>
        </w:rPr>
      </w:pPr>
      <w:r>
        <w:rPr>
          <w:rFonts w:ascii="Times New Roman" w:hAnsi="Times New Roman" w:cs="Times New Roman"/>
          <w:i/>
          <w:lang w:val="lt-LT"/>
        </w:rPr>
        <w:t>Nėštumas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Su nepageidaujamomis nėštumo baigtimis oksimetazolinas nebuvo susijęs. Nėščios moterys Afrin taip, kaip juos vartoti yra rekomenduojama, vartoti gali. Atsargiai vartoti turi nėščiosios, kurių arterinis kraujospūdis yra padidėjęs arba kurioms pasireiškė sumažėjusios placentos kraujotakos požymiai. Dažnai arba ilgai vartojamos didelės dozės gali sumažinti placentos kraujotaką.</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i/>
          <w:lang w:val="lt-LT"/>
        </w:rPr>
      </w:pPr>
      <w:r>
        <w:rPr>
          <w:rFonts w:ascii="Times New Roman" w:hAnsi="Times New Roman" w:cs="Times New Roman"/>
          <w:i/>
          <w:lang w:val="lt-LT"/>
        </w:rPr>
        <w:t>Žindymo laikotarpis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Ar oksimetazolinas patenka į motinos pieną, nėra žinoma. Kadangi duomenų apie oksimetazolino vartojimą laktacijos metu nepakanka, Afrin nosies purškalų žindymo metu vartoti negalima.</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b/>
          <w:lang w:val="lt-LT"/>
        </w:rPr>
      </w:pPr>
      <w:r>
        <w:rPr>
          <w:rFonts w:ascii="Times New Roman" w:hAnsi="Times New Roman" w:cs="Times New Roman"/>
          <w:b/>
          <w:lang w:val="lt-LT"/>
        </w:rPr>
        <w:t>Vairavimas ir mechanizmų valdymas</w:t>
      </w:r>
    </w:p>
    <w:p w:rsidR="004A45C9" w:rsidRDefault="004A45C9" w:rsidP="004A45C9">
      <w:pPr>
        <w:spacing w:after="0" w:line="240" w:lineRule="auto"/>
        <w:ind w:left="567" w:hanging="567"/>
        <w:rPr>
          <w:rFonts w:ascii="Times New Roman" w:hAnsi="Times New Roman" w:cs="Times New Roman"/>
          <w:b/>
          <w:lang w:val="lt-LT"/>
        </w:rPr>
      </w:pPr>
    </w:p>
    <w:p w:rsidR="004A45C9" w:rsidRDefault="004A45C9" w:rsidP="004A45C9">
      <w:pPr>
        <w:spacing w:after="0" w:line="240" w:lineRule="auto"/>
        <w:ind w:left="567" w:hanging="567"/>
        <w:rPr>
          <w:rFonts w:ascii="Times New Roman" w:hAnsi="Times New Roman" w:cs="Times New Roman"/>
          <w:lang w:val="lt-LT"/>
        </w:rPr>
      </w:pPr>
      <w:r>
        <w:rPr>
          <w:rFonts w:ascii="Times New Roman" w:hAnsi="Times New Roman" w:cs="Times New Roman"/>
          <w:lang w:val="lt-LT"/>
        </w:rPr>
        <w:t>Poveikio gebėjimui vairuoti ar valdyti mechanizmus nepastebėta.</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b/>
          <w:lang w:val="lt-LT"/>
        </w:rPr>
      </w:pPr>
      <w:r>
        <w:rPr>
          <w:rFonts w:ascii="Times New Roman" w:hAnsi="Times New Roman" w:cs="Times New Roman"/>
          <w:b/>
          <w:lang w:val="lt-LT"/>
        </w:rPr>
        <w:t>Afrin sudėtyje yra</w:t>
      </w:r>
      <w:r>
        <w:rPr>
          <w:rFonts w:ascii="Times New Roman" w:hAnsi="Times New Roman" w:cs="Times New Roman"/>
          <w:lang w:val="lt-LT"/>
        </w:rPr>
        <w:t xml:space="preserve"> </w:t>
      </w:r>
      <w:r>
        <w:rPr>
          <w:rFonts w:ascii="Times New Roman" w:hAnsi="Times New Roman" w:cs="Times New Roman"/>
          <w:b/>
          <w:lang w:val="lt-LT"/>
        </w:rPr>
        <w:t>benzalkonio chlorido ir benzilo alkoholio; Afrin Menthol nosies purškalo sudėtyje yra propilenglikolio.</w:t>
      </w:r>
    </w:p>
    <w:p w:rsidR="004A45C9" w:rsidRDefault="004A45C9" w:rsidP="004A45C9">
      <w:pPr>
        <w:numPr>
          <w:ilvl w:val="1"/>
          <w:numId w:val="3"/>
        </w:numPr>
        <w:spacing w:after="0" w:line="240" w:lineRule="auto"/>
        <w:ind w:left="709" w:hanging="709"/>
        <w:contextualSpacing/>
        <w:rPr>
          <w:rFonts w:ascii="Times New Roman" w:hAnsi="Times New Roman" w:cs="Times New Roman"/>
          <w:lang w:val="lt-LT"/>
        </w:rPr>
      </w:pPr>
      <w:r>
        <w:rPr>
          <w:rFonts w:ascii="Times New Roman" w:hAnsi="Times New Roman" w:cs="Times New Roman"/>
          <w:lang w:val="lt-LT"/>
        </w:rPr>
        <w:t>Benzalkonio chloridas (konservantas) gali sukelti sudirginimą ar patinimą nosies viduje, ypač jei vartojamas ilgai.</w:t>
      </w:r>
    </w:p>
    <w:p w:rsidR="004A45C9" w:rsidRDefault="004A45C9" w:rsidP="004A45C9">
      <w:pPr>
        <w:numPr>
          <w:ilvl w:val="1"/>
          <w:numId w:val="3"/>
        </w:numPr>
        <w:spacing w:after="0" w:line="240" w:lineRule="auto"/>
        <w:ind w:left="709" w:hanging="709"/>
        <w:contextualSpacing/>
        <w:rPr>
          <w:rFonts w:ascii="Times New Roman" w:hAnsi="Times New Roman" w:cs="Times New Roman"/>
          <w:lang w:val="lt-LT"/>
        </w:rPr>
      </w:pPr>
      <w:r>
        <w:rPr>
          <w:rFonts w:ascii="Times New Roman" w:hAnsi="Times New Roman" w:cs="Times New Roman"/>
          <w:lang w:val="lt-LT"/>
        </w:rPr>
        <w:t>Benzilo alkoholis gali sukelti alerginių reakcijų.</w:t>
      </w:r>
    </w:p>
    <w:p w:rsidR="004A45C9" w:rsidRDefault="004A45C9" w:rsidP="004A45C9">
      <w:pPr>
        <w:numPr>
          <w:ilvl w:val="0"/>
          <w:numId w:val="3"/>
        </w:numPr>
        <w:spacing w:after="0" w:line="240" w:lineRule="auto"/>
        <w:ind w:right="-2" w:hanging="720"/>
        <w:contextualSpacing/>
        <w:rPr>
          <w:rFonts w:ascii="Times New Roman" w:hAnsi="Times New Roman" w:cs="Times New Roman"/>
          <w:lang w:val="lt-LT"/>
        </w:rPr>
      </w:pPr>
      <w:r>
        <w:rPr>
          <w:rFonts w:ascii="Times New Roman" w:hAnsi="Times New Roman" w:cs="Times New Roman"/>
          <w:lang w:val="lt-LT"/>
        </w:rPr>
        <w:t>Propilenglikolis gali dirginti odą.</w:t>
      </w:r>
    </w:p>
    <w:p w:rsidR="004A45C9" w:rsidRDefault="004A45C9" w:rsidP="004A45C9">
      <w:p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left="567" w:hanging="567"/>
        <w:outlineLvl w:val="0"/>
        <w:rPr>
          <w:rFonts w:ascii="Times New Roman" w:hAnsi="Times New Roman" w:cs="Times New Roman"/>
          <w:b/>
          <w:caps/>
          <w:lang w:val="lt-LT"/>
        </w:rPr>
      </w:pPr>
      <w:r>
        <w:rPr>
          <w:rFonts w:ascii="Times New Roman" w:hAnsi="Times New Roman" w:cs="Times New Roman"/>
          <w:b/>
          <w:lang w:val="lt-LT"/>
        </w:rPr>
        <w:t>3.</w:t>
      </w:r>
      <w:r>
        <w:rPr>
          <w:rFonts w:ascii="Times New Roman" w:hAnsi="Times New Roman" w:cs="Times New Roman"/>
          <w:b/>
          <w:lang w:val="lt-LT"/>
        </w:rPr>
        <w:tab/>
        <w:t>Kaip vartoti Afrin</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Visada vartokite šį vaistą tiksliai kaip nurodė gydytojas, vaistininkas arba slaugytojas. Jeigu abejojate, kreipkitės į gydytoją, vaistininką arba slaugytoją.</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i/>
          <w:lang w:val="lt-LT"/>
        </w:rPr>
      </w:pPr>
      <w:r>
        <w:rPr>
          <w:rFonts w:ascii="Times New Roman" w:hAnsi="Times New Roman" w:cs="Times New Roman"/>
          <w:i/>
          <w:lang w:val="lt-LT"/>
        </w:rPr>
        <w:t>Dozavimas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Suaugusiesiems ir vyresniems kaip 10 metų vaikams reikia kas 12 valandų į kiekvieną nosies šnervę įpurkšti po 1-2 išpurškimus.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Nuo 6 iki 10 metų vaikams reikia kas 12 valandų į kiekvieną nosies šnervę įpurkšti po 1 išpurškimą.</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Per 24 valandas suaugusiam pacientui negalima įpurkšti daugiau kaip 8 išpurškimų, vaikui - 4. Šios dozės viršyti negalima.</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Afrin negalima vartoti ilgiau kaip 7 paras, nebent Jūsų gydytojas paskirtų kitaip. Prieš pradedant pakartotinai vartoti šį vaistinį preparatą, reikia padaryti keleto dienų pertrauką.</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ind w:left="567" w:hanging="567"/>
        <w:rPr>
          <w:rFonts w:ascii="Times New Roman" w:hAnsi="Times New Roman" w:cs="Times New Roman"/>
          <w:i/>
          <w:lang w:val="lt-LT"/>
        </w:rPr>
      </w:pPr>
      <w:r>
        <w:rPr>
          <w:rFonts w:ascii="Times New Roman" w:hAnsi="Times New Roman" w:cs="Times New Roman"/>
          <w:i/>
          <w:lang w:val="lt-LT"/>
        </w:rPr>
        <w:t>Vartojimas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Prieš pirmąjį išpurškimą į nosį, užtaisykite įtaisą keletą kartų paspausdami purkštuvą, kol pavyks visas pirmasis išpurškimas į orą.</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Laikant vertikaliai, purkštuvo galiuką reikia pasukant įkišti paeiliui į kiekvieną nosies šnervę ir įkvėpimo metu vieną arba du kartus stipriai paspausti.</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Po vartojimo purkštuką švariai nuvalykite. Šį vaistą vartojant daugiau nei vienam žmogui gali išplisti infekcija.</w:t>
      </w:r>
    </w:p>
    <w:p w:rsidR="004A45C9" w:rsidRDefault="004A45C9" w:rsidP="004A45C9">
      <w:pPr>
        <w:spacing w:after="0" w:line="240" w:lineRule="auto"/>
        <w:rPr>
          <w:rFonts w:ascii="Times New Roman" w:hAnsi="Times New Roman" w:cs="Times New Roman"/>
          <w:lang w:val="lt-LT"/>
        </w:rPr>
      </w:pPr>
    </w:p>
    <w:p w:rsidR="004A45C9" w:rsidRDefault="004A45C9" w:rsidP="004A45C9">
      <w:pPr>
        <w:keepNext/>
        <w:keepLines/>
        <w:spacing w:after="0" w:line="240" w:lineRule="auto"/>
        <w:ind w:left="567" w:hanging="567"/>
        <w:rPr>
          <w:rFonts w:ascii="Times New Roman" w:hAnsi="Times New Roman" w:cs="Times New Roman"/>
          <w:b/>
          <w:lang w:val="lt-LT"/>
        </w:rPr>
      </w:pPr>
      <w:r>
        <w:rPr>
          <w:rFonts w:ascii="Times New Roman" w:hAnsi="Times New Roman" w:cs="Times New Roman"/>
          <w:b/>
          <w:lang w:val="lt-LT"/>
        </w:rPr>
        <w:t>Pavartojus per didelę Afrin dozę</w:t>
      </w:r>
    </w:p>
    <w:p w:rsidR="004A45C9" w:rsidRDefault="004A45C9" w:rsidP="004A45C9">
      <w:pPr>
        <w:keepNext/>
        <w:keepLines/>
        <w:spacing w:after="0" w:line="240" w:lineRule="auto"/>
        <w:ind w:left="567" w:hanging="567"/>
        <w:rPr>
          <w:rFonts w:ascii="Times New Roman" w:hAnsi="Times New Roman" w:cs="Times New Roman"/>
          <w:b/>
          <w:lang w:val="lt-LT"/>
        </w:rPr>
      </w:pPr>
    </w:p>
    <w:p w:rsidR="004A45C9" w:rsidRDefault="004A45C9" w:rsidP="004A45C9">
      <w:pPr>
        <w:keepNext/>
        <w:keepLines/>
        <w:spacing w:after="0" w:line="240" w:lineRule="auto"/>
        <w:rPr>
          <w:rFonts w:ascii="Times New Roman" w:hAnsi="Times New Roman" w:cs="Times New Roman"/>
          <w:lang w:val="lt-LT"/>
        </w:rPr>
      </w:pPr>
      <w:r>
        <w:rPr>
          <w:rFonts w:ascii="Times New Roman" w:hAnsi="Times New Roman" w:cs="Times New Roman"/>
          <w:lang w:val="lt-LT"/>
        </w:rPr>
        <w:t>Pavartoję per didelę Afrin dozę nedelsdami susisiekite su gydytoju arba vykite tiesiai į ligoninę, su savimi pasiimdami vaisto buteliuką.</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keepNext/>
        <w:keepLines/>
        <w:spacing w:after="0" w:line="240" w:lineRule="auto"/>
        <w:ind w:left="567" w:hanging="567"/>
        <w:rPr>
          <w:rFonts w:ascii="Times New Roman" w:hAnsi="Times New Roman" w:cs="Times New Roman"/>
          <w:b/>
          <w:lang w:val="lt-LT"/>
        </w:rPr>
      </w:pPr>
      <w:r>
        <w:rPr>
          <w:rFonts w:ascii="Times New Roman" w:hAnsi="Times New Roman" w:cs="Times New Roman"/>
          <w:b/>
          <w:lang w:val="lt-LT"/>
        </w:rPr>
        <w:t>Pamiršus pavartoti Afrin</w:t>
      </w:r>
    </w:p>
    <w:p w:rsidR="004A45C9" w:rsidRDefault="004A45C9" w:rsidP="004A45C9">
      <w:pPr>
        <w:keepNext/>
        <w:keepLines/>
        <w:spacing w:after="0" w:line="240" w:lineRule="auto"/>
        <w:ind w:left="567" w:hanging="567"/>
        <w:rPr>
          <w:rFonts w:ascii="Times New Roman" w:hAnsi="Times New Roman" w:cs="Times New Roman"/>
          <w:b/>
          <w:lang w:val="lt-LT"/>
        </w:rPr>
      </w:pPr>
    </w:p>
    <w:p w:rsidR="004A45C9" w:rsidRDefault="004A45C9" w:rsidP="004A45C9">
      <w:pPr>
        <w:keepNext/>
        <w:keepLines/>
        <w:spacing w:after="0" w:line="240" w:lineRule="auto"/>
        <w:ind w:left="567" w:hanging="567"/>
        <w:rPr>
          <w:rFonts w:ascii="Times New Roman" w:hAnsi="Times New Roman" w:cs="Times New Roman"/>
          <w:lang w:val="lt-LT"/>
        </w:rPr>
      </w:pPr>
      <w:r>
        <w:rPr>
          <w:rFonts w:ascii="Times New Roman" w:hAnsi="Times New Roman" w:cs="Times New Roman"/>
          <w:lang w:val="lt-LT"/>
        </w:rPr>
        <w:t>Negalima vartoti dvigubos dozės norint kompensuoti praleistą dozę.</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lang w:val="lt-LT"/>
        </w:rPr>
      </w:pPr>
      <w:r>
        <w:rPr>
          <w:rFonts w:ascii="Times New Roman" w:hAnsi="Times New Roman" w:cs="Times New Roman"/>
          <w:lang w:val="lt-LT"/>
        </w:rPr>
        <w:t>Jeigu kiltų daugiau klausimų dėl šio vaisto vartojimo, kreipkitės į gydytoją, vaistininką arba slaugytoją.</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left="567" w:hanging="567"/>
        <w:outlineLvl w:val="0"/>
        <w:rPr>
          <w:rFonts w:ascii="Times New Roman" w:hAnsi="Times New Roman" w:cs="Times New Roman"/>
          <w:b/>
          <w:caps/>
          <w:lang w:val="lt-LT"/>
        </w:rPr>
      </w:pPr>
      <w:r>
        <w:rPr>
          <w:rFonts w:ascii="Times New Roman" w:hAnsi="Times New Roman" w:cs="Times New Roman"/>
          <w:b/>
          <w:caps/>
          <w:lang w:val="lt-LT"/>
        </w:rPr>
        <w:t>4.</w:t>
      </w:r>
      <w:r>
        <w:rPr>
          <w:rFonts w:ascii="Times New Roman" w:hAnsi="Times New Roman" w:cs="Times New Roman"/>
          <w:b/>
          <w:caps/>
          <w:lang w:val="lt-LT"/>
        </w:rPr>
        <w:tab/>
        <w:t>g</w:t>
      </w:r>
      <w:r>
        <w:rPr>
          <w:rFonts w:ascii="Times New Roman" w:hAnsi="Times New Roman" w:cs="Times New Roman"/>
          <w:b/>
          <w:lang w:val="lt-LT"/>
        </w:rPr>
        <w:t>alimas šalutinis poveikis</w:t>
      </w:r>
    </w:p>
    <w:p w:rsidR="004A45C9" w:rsidRDefault="004A45C9" w:rsidP="004A45C9">
      <w:pPr>
        <w:spacing w:after="0" w:line="240" w:lineRule="auto"/>
        <w:ind w:left="567" w:hanging="567"/>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Šis vaistas, kaip ir visi kiti, gali sukelti šalutinį poveikį, nors jis pasireiškia ne visiems žmonėms.</w:t>
      </w:r>
    </w:p>
    <w:p w:rsidR="004A45C9" w:rsidRDefault="004A45C9" w:rsidP="004A45C9">
      <w:pPr>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Galimi šalutiniai poveikiai yra:</w:t>
      </w:r>
    </w:p>
    <w:p w:rsidR="004A45C9" w:rsidRDefault="004A45C9" w:rsidP="004A45C9">
      <w:pPr>
        <w:numPr>
          <w:ilvl w:val="12"/>
          <w:numId w:val="0"/>
        </w:numPr>
        <w:spacing w:after="0" w:line="240" w:lineRule="auto"/>
        <w:ind w:right="-2"/>
        <w:rPr>
          <w:rFonts w:ascii="Times New Roman" w:hAnsi="Times New Roman" w:cs="Times New Roman"/>
          <w:lang w:val="lt-LT"/>
        </w:rPr>
      </w:pPr>
      <w:r>
        <w:rPr>
          <w:rFonts w:ascii="Times New Roman" w:hAnsi="Times New Roman" w:cs="Times New Roman"/>
          <w:b/>
          <w:lang w:val="lt-LT"/>
        </w:rPr>
        <w:t xml:space="preserve">Nedažni </w:t>
      </w:r>
      <w:r>
        <w:rPr>
          <w:rFonts w:ascii="Times New Roman" w:hAnsi="Times New Roman" w:cs="Times New Roman"/>
          <w:lang w:val="lt-LT"/>
        </w:rPr>
        <w:t>(pasireiškia mažiau kaip 1 iš 100 pacientų): čiaudulys, nosies, burnos ar gerklės sausumas ar sudirginimas ir nosies užsikimšimas.</w:t>
      </w:r>
    </w:p>
    <w:p w:rsidR="004A45C9" w:rsidRDefault="004A45C9" w:rsidP="004A45C9">
      <w:pPr>
        <w:numPr>
          <w:ilvl w:val="12"/>
          <w:numId w:val="0"/>
        </w:numPr>
        <w:spacing w:after="0" w:line="240" w:lineRule="auto"/>
        <w:ind w:right="-2"/>
        <w:rPr>
          <w:rFonts w:ascii="Times New Roman" w:hAnsi="Times New Roman" w:cs="Times New Roman"/>
          <w:lang w:val="lt-LT"/>
        </w:rPr>
      </w:pPr>
      <w:r>
        <w:rPr>
          <w:rFonts w:ascii="Times New Roman" w:hAnsi="Times New Roman" w:cs="Times New Roman"/>
          <w:b/>
          <w:lang w:val="lt-LT"/>
        </w:rPr>
        <w:t>Reti</w:t>
      </w:r>
      <w:r>
        <w:rPr>
          <w:rFonts w:ascii="Times New Roman" w:hAnsi="Times New Roman" w:cs="Times New Roman"/>
          <w:lang w:val="lt-LT"/>
        </w:rPr>
        <w:t xml:space="preserve"> (pasireiškia mažiau kaip 1 iš 1000 pacientų): nerimas, nuovargis, dirglumas, vaikams – miego sutrikimai, greitas širdies plakimas, širdies plakimo jutimas, padidėjęs kraujospūdis, nosies gleivinės patinimas, galvos skausmas, pykinimas, karščio pylimas, išbėrimas ir matymo sutrikimai.</w:t>
      </w:r>
    </w:p>
    <w:p w:rsidR="004A45C9" w:rsidRDefault="004A45C9" w:rsidP="004A45C9">
      <w:pPr>
        <w:spacing w:after="0" w:line="240" w:lineRule="auto"/>
        <w:rPr>
          <w:rFonts w:ascii="Times New Roman" w:hAnsi="Times New Roman" w:cs="Times New Roman"/>
          <w:lang w:val="lt-LT"/>
        </w:rPr>
      </w:pPr>
    </w:p>
    <w:p w:rsidR="004A45C9" w:rsidRDefault="004A45C9" w:rsidP="004A45C9">
      <w:pPr>
        <w:tabs>
          <w:tab w:val="left" w:pos="567"/>
        </w:tabs>
        <w:spacing w:after="0" w:line="240" w:lineRule="auto"/>
        <w:rPr>
          <w:rFonts w:ascii="Times New Roman" w:hAnsi="Times New Roman" w:cs="Times New Roman"/>
          <w:b/>
          <w:lang w:val="lt-LT"/>
        </w:rPr>
      </w:pPr>
      <w:r>
        <w:rPr>
          <w:rFonts w:ascii="Times New Roman" w:hAnsi="Times New Roman" w:cs="Times New Roman"/>
          <w:b/>
          <w:lang w:val="lt-LT"/>
        </w:rPr>
        <w:t>Pranešimas apie šalutinį poveikį</w:t>
      </w:r>
    </w:p>
    <w:p w:rsidR="004A45C9" w:rsidRDefault="004A45C9" w:rsidP="004A45C9">
      <w:pPr>
        <w:tabs>
          <w:tab w:val="left" w:pos="567"/>
        </w:tabs>
        <w:spacing w:after="0" w:line="260" w:lineRule="exact"/>
        <w:ind w:right="-449"/>
        <w:rPr>
          <w:rFonts w:ascii="Times New Roman" w:hAnsi="Times New Roman" w:cs="Times New Roman"/>
          <w:lang w:val="lt-LT"/>
        </w:rPr>
      </w:pPr>
      <w:r>
        <w:rPr>
          <w:rFonts w:ascii="Times New Roman" w:hAnsi="Times New Roman" w:cs="Times New Roman"/>
          <w:lang w:val="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cs="Times New Roman"/>
            <w:color w:val="auto"/>
            <w:u w:val="none"/>
            <w:lang w:val="lt-LT"/>
          </w:rPr>
          <w:t>www.vvkt.lt</w:t>
        </w:r>
      </w:hyperlink>
      <w:r>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Fonts w:cs="Times New Roman"/>
            <w:color w:val="auto"/>
            <w:u w:val="none"/>
            <w:lang w:val="lt-LT"/>
          </w:rPr>
          <w:t>NepageidaujamaR@vvkt.lt</w:t>
        </w:r>
      </w:hyperlink>
      <w:r>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Pr>
            <w:rStyle w:val="Hyperlink"/>
            <w:rFonts w:cs="Times New Roman"/>
            <w:color w:val="auto"/>
            <w:u w:val="none"/>
            <w:lang w:val="lt-LT"/>
          </w:rPr>
          <w:t>http://www.vvkt.lt</w:t>
        </w:r>
      </w:hyperlink>
      <w:r>
        <w:rPr>
          <w:rFonts w:ascii="Times New Roman" w:hAnsi="Times New Roman" w:cs="Times New Roman"/>
          <w:lang w:val="lt-LT"/>
        </w:rPr>
        <w:t>). Pranešdami apie šalutinį poveikį galite mums padėti gauti daugiau informacijos apie šio vaisto saugumą.</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left="567" w:right="-2" w:hanging="567"/>
        <w:rPr>
          <w:rFonts w:ascii="Times New Roman" w:hAnsi="Times New Roman" w:cs="Times New Roman"/>
          <w:lang w:val="lt-LT"/>
        </w:rPr>
      </w:pPr>
      <w:r>
        <w:rPr>
          <w:rFonts w:ascii="Times New Roman" w:hAnsi="Times New Roman" w:cs="Times New Roman"/>
          <w:b/>
          <w:lang w:val="lt-LT"/>
        </w:rPr>
        <w:t>5.</w:t>
      </w:r>
      <w:r>
        <w:rPr>
          <w:rFonts w:ascii="Times New Roman" w:hAnsi="Times New Roman" w:cs="Times New Roman"/>
          <w:b/>
          <w:lang w:val="lt-LT"/>
        </w:rPr>
        <w:tab/>
        <w:t>Kaip laikyti Afrin</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0"/>
          <w:numId w:val="4"/>
        </w:numPr>
        <w:spacing w:after="0" w:line="240" w:lineRule="auto"/>
        <w:ind w:left="426" w:right="-2" w:hanging="426"/>
        <w:contextualSpacing/>
        <w:rPr>
          <w:rFonts w:ascii="Times New Roman" w:hAnsi="Times New Roman" w:cs="Times New Roman"/>
          <w:lang w:val="lt-LT"/>
        </w:rPr>
      </w:pPr>
      <w:r>
        <w:rPr>
          <w:rFonts w:ascii="Times New Roman" w:hAnsi="Times New Roman" w:cs="Times New Roman"/>
          <w:lang w:val="lt-LT"/>
        </w:rPr>
        <w:t>Šį vaistą laikykite vaikams nepastebimoje ir nepasiekiamoje vietoje.</w:t>
      </w:r>
    </w:p>
    <w:p w:rsidR="004A45C9" w:rsidRDefault="004A45C9" w:rsidP="004A45C9">
      <w:pPr>
        <w:numPr>
          <w:ilvl w:val="0"/>
          <w:numId w:val="4"/>
        </w:numPr>
        <w:spacing w:after="0" w:line="240" w:lineRule="auto"/>
        <w:ind w:left="426" w:hanging="426"/>
        <w:contextualSpacing/>
        <w:rPr>
          <w:rFonts w:ascii="Times New Roman" w:hAnsi="Times New Roman" w:cs="Times New Roman"/>
          <w:lang w:val="lt-LT"/>
        </w:rPr>
      </w:pPr>
      <w:r>
        <w:rPr>
          <w:rFonts w:ascii="Times New Roman" w:hAnsi="Times New Roman" w:cs="Times New Roman"/>
          <w:lang w:val="lt-LT"/>
        </w:rPr>
        <w:t xml:space="preserve">Laikyti žemesnėje kaip 25 </w:t>
      </w:r>
      <w:r>
        <w:rPr>
          <w:rFonts w:ascii="Times New Roman" w:hAnsi="Times New Roman" w:cs="Times New Roman"/>
          <w:lang w:val="lt-LT"/>
        </w:rPr>
        <w:sym w:font="Symbol" w:char="F0B0"/>
      </w:r>
      <w:r>
        <w:rPr>
          <w:rFonts w:ascii="Times New Roman" w:hAnsi="Times New Roman" w:cs="Times New Roman"/>
          <w:lang w:val="lt-LT"/>
        </w:rPr>
        <w:t>C temperatūroje. Negalima šaldyti ar užšaldyti.</w:t>
      </w:r>
    </w:p>
    <w:p w:rsidR="004A45C9" w:rsidRDefault="004A45C9" w:rsidP="004A45C9">
      <w:pPr>
        <w:numPr>
          <w:ilvl w:val="0"/>
          <w:numId w:val="4"/>
        </w:numPr>
        <w:spacing w:after="0" w:line="240" w:lineRule="auto"/>
        <w:ind w:left="426" w:hanging="426"/>
        <w:rPr>
          <w:rFonts w:ascii="Times New Roman" w:hAnsi="Times New Roman" w:cs="Times New Roman"/>
          <w:lang w:val="lt-LT"/>
        </w:rPr>
      </w:pPr>
      <w:r>
        <w:rPr>
          <w:rFonts w:ascii="Times New Roman" w:hAnsi="Times New Roman" w:cs="Times New Roman"/>
          <w:lang w:val="lt-LT"/>
        </w:rPr>
        <w:t>Ant dėžutės ir buteliuko etiketės po ,,EXP“ nurodytam tinkamumo laikui pasibaigus, šio vaisto vartoti negalima. Vaistas tinkamas vartoti iki paskutinės nurodyto mėnesio dienos.</w:t>
      </w:r>
    </w:p>
    <w:p w:rsidR="004A45C9" w:rsidRDefault="004A45C9" w:rsidP="004A45C9">
      <w:pPr>
        <w:numPr>
          <w:ilvl w:val="0"/>
          <w:numId w:val="4"/>
        </w:numPr>
        <w:spacing w:after="0" w:line="240" w:lineRule="auto"/>
        <w:ind w:left="426" w:hanging="426"/>
        <w:rPr>
          <w:rFonts w:ascii="Times New Roman" w:hAnsi="Times New Roman" w:cs="Times New Roman"/>
          <w:lang w:val="lt-LT"/>
        </w:rPr>
      </w:pPr>
      <w:r>
        <w:rPr>
          <w:rFonts w:ascii="Times New Roman" w:hAnsi="Times New Roman" w:cs="Times New Roman"/>
          <w:lang w:val="lt-LT"/>
        </w:rPr>
        <w:t>Atidarius pakuotę vaistą galima vartoti 30 dienų.</w:t>
      </w:r>
    </w:p>
    <w:p w:rsidR="004A45C9" w:rsidRDefault="004A45C9" w:rsidP="004A45C9">
      <w:pPr>
        <w:numPr>
          <w:ilvl w:val="0"/>
          <w:numId w:val="4"/>
        </w:numPr>
        <w:spacing w:after="0" w:line="240" w:lineRule="auto"/>
        <w:ind w:left="426" w:right="-2" w:hanging="426"/>
        <w:contextualSpacing/>
        <w:rPr>
          <w:rFonts w:ascii="Times New Roman" w:hAnsi="Times New Roman" w:cs="Times New Roman"/>
          <w:lang w:val="lt-LT"/>
        </w:rPr>
      </w:pPr>
      <w:r>
        <w:rPr>
          <w:rFonts w:ascii="Times New Roman" w:hAnsi="Times New Roman" w:cs="Times New Roman"/>
          <w:lang w:val="lt-LT"/>
        </w:rPr>
        <w:t>Vaistų negalima išmesti į kanalizaciją arba su buitinėmis</w:t>
      </w:r>
      <w:r>
        <w:rPr>
          <w:rFonts w:ascii="Times New Roman" w:hAnsi="Times New Roman" w:cs="Times New Roman"/>
          <w:color w:val="993366"/>
          <w:lang w:val="lt-LT"/>
        </w:rPr>
        <w:t xml:space="preserve"> </w:t>
      </w:r>
      <w:r>
        <w:rPr>
          <w:rFonts w:ascii="Times New Roman" w:hAnsi="Times New Roman" w:cs="Times New Roman"/>
          <w:lang w:val="lt-LT"/>
        </w:rPr>
        <w:t>atliekomis. Kaip išmesti nereikalingus vaistus, klauskite vaistininko. Šios priemonės padės apsaugoti aplinką.</w:t>
      </w:r>
    </w:p>
    <w:p w:rsidR="004A45C9" w:rsidRDefault="004A45C9" w:rsidP="004A45C9">
      <w:p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b/>
          <w:lang w:val="lt-LT"/>
        </w:rPr>
      </w:pPr>
      <w:r>
        <w:rPr>
          <w:rFonts w:ascii="Times New Roman" w:hAnsi="Times New Roman" w:cs="Times New Roman"/>
          <w:b/>
          <w:lang w:val="lt-LT"/>
        </w:rPr>
        <w:t>6.</w:t>
      </w:r>
      <w:r>
        <w:rPr>
          <w:rFonts w:ascii="Times New Roman" w:hAnsi="Times New Roman" w:cs="Times New Roman"/>
          <w:b/>
          <w:lang w:val="lt-LT"/>
        </w:rPr>
        <w:tab/>
        <w:t>Pakuotės turinys ir kita informacija</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b/>
          <w:lang w:val="lt-LT"/>
        </w:rPr>
      </w:pPr>
      <w:r>
        <w:rPr>
          <w:rFonts w:ascii="Times New Roman" w:hAnsi="Times New Roman" w:cs="Times New Roman"/>
          <w:b/>
          <w:lang w:val="lt-LT"/>
        </w:rPr>
        <w:t>Afrin sudėtis</w:t>
      </w:r>
    </w:p>
    <w:p w:rsidR="004A45C9" w:rsidRDefault="004A45C9" w:rsidP="004A45C9">
      <w:pPr>
        <w:numPr>
          <w:ilvl w:val="12"/>
          <w:numId w:val="0"/>
        </w:numPr>
        <w:spacing w:after="0" w:line="240" w:lineRule="auto"/>
        <w:ind w:right="-2"/>
        <w:rPr>
          <w:rFonts w:ascii="Times New Roman" w:hAnsi="Times New Roman" w:cs="Times New Roman"/>
          <w:u w:val="single"/>
          <w:lang w:val="lt-LT"/>
        </w:rPr>
      </w:pPr>
    </w:p>
    <w:p w:rsidR="004A45C9" w:rsidRDefault="004A45C9" w:rsidP="004A45C9">
      <w:pPr>
        <w:spacing w:after="0" w:line="240" w:lineRule="auto"/>
        <w:rPr>
          <w:rFonts w:ascii="Times New Roman" w:hAnsi="Times New Roman" w:cs="Times New Roman"/>
          <w:b/>
          <w:lang w:val="lt-LT"/>
        </w:rPr>
      </w:pPr>
      <w:r>
        <w:rPr>
          <w:rFonts w:ascii="Times New Roman" w:hAnsi="Times New Roman" w:cs="Times New Roman"/>
          <w:b/>
          <w:lang w:val="lt-LT"/>
        </w:rPr>
        <w:t>Afrin</w:t>
      </w:r>
    </w:p>
    <w:p w:rsidR="004A45C9" w:rsidRDefault="004A45C9" w:rsidP="004A45C9">
      <w:pPr>
        <w:numPr>
          <w:ilvl w:val="0"/>
          <w:numId w:val="2"/>
        </w:numPr>
        <w:spacing w:after="0" w:line="240" w:lineRule="auto"/>
        <w:ind w:left="567" w:right="-2" w:hanging="567"/>
        <w:rPr>
          <w:rFonts w:ascii="Times New Roman" w:hAnsi="Times New Roman" w:cs="Times New Roman"/>
          <w:i/>
          <w:lang w:val="lt-LT"/>
        </w:rPr>
      </w:pPr>
      <w:r>
        <w:rPr>
          <w:rFonts w:ascii="Times New Roman" w:hAnsi="Times New Roman" w:cs="Times New Roman"/>
          <w:lang w:val="lt-LT"/>
        </w:rPr>
        <w:t>Veiklioji medžiaga yra oksimetazolino hidrochloridas, kurio yra 0,5 mg/ml.</w:t>
      </w:r>
    </w:p>
    <w:p w:rsidR="004A45C9" w:rsidRDefault="004A45C9" w:rsidP="004A45C9">
      <w:pPr>
        <w:numPr>
          <w:ilvl w:val="0"/>
          <w:numId w:val="2"/>
        </w:numPr>
        <w:spacing w:after="0" w:line="240" w:lineRule="auto"/>
        <w:ind w:right="-2"/>
        <w:rPr>
          <w:rFonts w:ascii="Times New Roman" w:hAnsi="Times New Roman" w:cs="Times New Roman"/>
          <w:lang w:val="lt-LT"/>
        </w:rPr>
      </w:pPr>
      <w:r>
        <w:rPr>
          <w:rFonts w:ascii="Times New Roman" w:hAnsi="Times New Roman" w:cs="Times New Roman"/>
          <w:lang w:val="lt-LT"/>
        </w:rPr>
        <w:t>Pagalbinės medžiagos yra dinatrio edetatas, dinatrio fosfatas, natrio-divandenilio fosfatas monohidratas, povidonas K29-32, benzalkonio chloridas (0,25 mg/ml), PEG 1450, išgrynintas vanduo, benzilo alkoholis (2,5 mg/ml), mikrokristalinė celiuliozė ir karmeliozės natrio druska, citrinų aromato medžiaga, į kurią įeina natūralios ir dirbtinės aromatinės medžiagos, alkoholis ir DL-alfa-tokoferolis.</w:t>
      </w:r>
    </w:p>
    <w:p w:rsidR="004A45C9" w:rsidRDefault="004A45C9" w:rsidP="004A45C9">
      <w:pPr>
        <w:spacing w:after="0" w:line="240" w:lineRule="auto"/>
        <w:ind w:right="-2"/>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b/>
          <w:lang w:val="lt-LT"/>
        </w:rPr>
      </w:pPr>
      <w:r>
        <w:rPr>
          <w:rFonts w:ascii="Times New Roman" w:hAnsi="Times New Roman" w:cs="Times New Roman"/>
          <w:b/>
          <w:lang w:val="lt-LT"/>
        </w:rPr>
        <w:t>Afrin Menthol</w:t>
      </w:r>
    </w:p>
    <w:p w:rsidR="004A45C9" w:rsidRDefault="004A45C9" w:rsidP="004A45C9">
      <w:pPr>
        <w:numPr>
          <w:ilvl w:val="0"/>
          <w:numId w:val="2"/>
        </w:numPr>
        <w:spacing w:after="0" w:line="240" w:lineRule="auto"/>
        <w:ind w:left="567" w:right="-2" w:hanging="567"/>
        <w:rPr>
          <w:rFonts w:ascii="Times New Roman" w:hAnsi="Times New Roman" w:cs="Times New Roman"/>
          <w:i/>
          <w:lang w:val="lt-LT"/>
        </w:rPr>
      </w:pPr>
      <w:r>
        <w:rPr>
          <w:rFonts w:ascii="Times New Roman" w:hAnsi="Times New Roman" w:cs="Times New Roman"/>
          <w:lang w:val="lt-LT"/>
        </w:rPr>
        <w:t>Veiklioji medžiaga yra oksimetazolino hidrochloridas, kurio yra 0,5 mg/ml.</w:t>
      </w:r>
    </w:p>
    <w:p w:rsidR="004A45C9" w:rsidRDefault="004A45C9" w:rsidP="004A45C9">
      <w:pPr>
        <w:numPr>
          <w:ilvl w:val="0"/>
          <w:numId w:val="2"/>
        </w:numPr>
        <w:spacing w:after="0" w:line="240" w:lineRule="auto"/>
        <w:ind w:right="-2"/>
        <w:rPr>
          <w:rFonts w:ascii="Times New Roman" w:hAnsi="Times New Roman" w:cs="Times New Roman"/>
          <w:lang w:val="lt-LT"/>
        </w:rPr>
      </w:pPr>
      <w:r>
        <w:rPr>
          <w:rFonts w:ascii="Times New Roman" w:hAnsi="Times New Roman" w:cs="Times New Roman"/>
          <w:lang w:val="lt-LT"/>
        </w:rPr>
        <w:t>Pagalbinės medžiagos yra dinatrio edetatas, dinatrio fosfatas, natrio-divandenilio fosfatas monohidratas, povidonas K29-32, benzalkonio chloridas (0,25 mg/ml), PEG 1450, propilenglikolis, išgrynintas vanduo, benzilo alkoholis (3 mg/ml), mikrokristalinė celiuliozė ir karmeliozės natrio druska, cineolas, kamparas, levomentolis.</w:t>
      </w:r>
    </w:p>
    <w:p w:rsidR="004A45C9" w:rsidRDefault="004A45C9" w:rsidP="004A45C9">
      <w:p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b/>
          <w:lang w:val="lt-LT"/>
        </w:rPr>
      </w:pPr>
      <w:r>
        <w:rPr>
          <w:rFonts w:ascii="Times New Roman" w:hAnsi="Times New Roman" w:cs="Times New Roman"/>
          <w:b/>
          <w:lang w:val="lt-LT"/>
        </w:rPr>
        <w:t>Afrin išvaizda ir kiekis pakuotėje</w:t>
      </w:r>
    </w:p>
    <w:p w:rsidR="004A45C9" w:rsidRDefault="004A45C9" w:rsidP="004A45C9">
      <w:pPr>
        <w:numPr>
          <w:ilvl w:val="12"/>
          <w:numId w:val="0"/>
        </w:numPr>
        <w:spacing w:after="0" w:line="240" w:lineRule="auto"/>
        <w:ind w:right="-2"/>
        <w:rPr>
          <w:rFonts w:ascii="Times New Roman" w:hAnsi="Times New Roman" w:cs="Times New Roman"/>
          <w:lang w:val="lt-LT"/>
        </w:rPr>
      </w:pPr>
      <w:r>
        <w:rPr>
          <w:rFonts w:ascii="Times New Roman" w:hAnsi="Times New Roman" w:cs="Times New Roman"/>
          <w:lang w:val="lt-LT"/>
        </w:rPr>
        <w:t>Afrin yra baltas ar balkšvas į gelį panašus tirpalas, esantis baltame, šviesai atspariame, 15 ml tūrio didelio tankio plastiko buteliuke su balta plastikine pompa.</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b/>
          <w:lang w:val="lt-LT"/>
        </w:rPr>
      </w:pPr>
      <w:r>
        <w:rPr>
          <w:rFonts w:ascii="Times New Roman" w:hAnsi="Times New Roman" w:cs="Times New Roman"/>
          <w:b/>
          <w:lang w:val="lt-LT"/>
        </w:rPr>
        <w:t>Registruotojas ir gamintojas</w:t>
      </w:r>
    </w:p>
    <w:p w:rsidR="004A45C9" w:rsidRDefault="004A45C9" w:rsidP="004A45C9">
      <w:pPr>
        <w:numPr>
          <w:ilvl w:val="12"/>
          <w:numId w:val="0"/>
        </w:numPr>
        <w:spacing w:after="0" w:line="240" w:lineRule="auto"/>
        <w:ind w:right="-2"/>
        <w:rPr>
          <w:rFonts w:ascii="Times New Roman" w:hAnsi="Times New Roman" w:cs="Times New Roman"/>
          <w:b/>
          <w:lang w:val="lt-LT"/>
        </w:rPr>
      </w:pPr>
    </w:p>
    <w:p w:rsidR="004A45C9" w:rsidRDefault="004A45C9" w:rsidP="004A45C9">
      <w:pPr>
        <w:numPr>
          <w:ilvl w:val="12"/>
          <w:numId w:val="0"/>
        </w:numPr>
        <w:spacing w:after="0" w:line="240" w:lineRule="auto"/>
        <w:ind w:right="-2"/>
        <w:rPr>
          <w:rFonts w:ascii="Times New Roman" w:hAnsi="Times New Roman" w:cs="Times New Roman"/>
          <w:i/>
          <w:lang w:val="lt-LT"/>
        </w:rPr>
      </w:pPr>
      <w:r>
        <w:rPr>
          <w:rFonts w:ascii="Times New Roman" w:hAnsi="Times New Roman" w:cs="Times New Roman"/>
          <w:i/>
          <w:lang w:val="lt-LT"/>
        </w:rPr>
        <w:t>Registruotojas: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UAB „Bayer“</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Sporto 18</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LT-09238 Vilnius</w:t>
      </w:r>
    </w:p>
    <w:p w:rsidR="004A45C9" w:rsidRDefault="004A45C9" w:rsidP="004A45C9">
      <w:pPr>
        <w:numPr>
          <w:ilvl w:val="12"/>
          <w:numId w:val="0"/>
        </w:numPr>
        <w:spacing w:after="0" w:line="240" w:lineRule="auto"/>
        <w:ind w:right="-2"/>
        <w:rPr>
          <w:rFonts w:ascii="Times New Roman" w:hAnsi="Times New Roman" w:cs="Times New Roman"/>
          <w:lang w:val="lt-LT"/>
        </w:rPr>
      </w:pPr>
      <w:r>
        <w:rPr>
          <w:rFonts w:ascii="Times New Roman" w:hAnsi="Times New Roman" w:cs="Times New Roman"/>
          <w:lang w:val="lt-LT"/>
        </w:rPr>
        <w:t>Lietuva</w:t>
      </w:r>
    </w:p>
    <w:p w:rsidR="004A45C9" w:rsidRDefault="004A45C9" w:rsidP="004A45C9">
      <w:pPr>
        <w:numPr>
          <w:ilvl w:val="12"/>
          <w:numId w:val="0"/>
        </w:numPr>
        <w:spacing w:after="0" w:line="240" w:lineRule="auto"/>
        <w:ind w:right="-2"/>
        <w:rPr>
          <w:rFonts w:ascii="Times New Roman" w:hAnsi="Times New Roman" w:cs="Times New Roman"/>
          <w:lang w:val="lt-LT"/>
        </w:rPr>
      </w:pPr>
    </w:p>
    <w:p w:rsidR="004A45C9" w:rsidRDefault="004A45C9" w:rsidP="004A45C9">
      <w:pPr>
        <w:numPr>
          <w:ilvl w:val="12"/>
          <w:numId w:val="0"/>
        </w:numPr>
        <w:spacing w:after="0" w:line="240" w:lineRule="auto"/>
        <w:ind w:right="-2"/>
        <w:rPr>
          <w:rFonts w:ascii="Times New Roman" w:hAnsi="Times New Roman" w:cs="Times New Roman"/>
          <w:i/>
          <w:lang w:val="lt-LT"/>
        </w:rPr>
      </w:pPr>
      <w:r>
        <w:rPr>
          <w:rFonts w:ascii="Times New Roman" w:hAnsi="Times New Roman" w:cs="Times New Roman"/>
          <w:i/>
          <w:lang w:val="lt-LT"/>
        </w:rPr>
        <w:t>Gamintojas:</w:t>
      </w:r>
    </w:p>
    <w:p w:rsidR="004A45C9" w:rsidRDefault="004A45C9" w:rsidP="004A45C9">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Berlimed S.A.</w:t>
      </w:r>
    </w:p>
    <w:p w:rsidR="004A45C9" w:rsidRDefault="004A45C9" w:rsidP="004A45C9">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C/Francisco Alonso no.7</w:t>
      </w:r>
    </w:p>
    <w:p w:rsidR="004A45C9" w:rsidRDefault="004A45C9" w:rsidP="004A45C9">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 xml:space="preserve">Poligono Industrial Santa Rosa Alcalá de Henares </w:t>
      </w:r>
      <w:r>
        <w:rPr>
          <w:rFonts w:ascii="Times New Roman" w:hAnsi="Times New Roman" w:cs="Times New Roman"/>
          <w:lang w:val="lt-LT"/>
        </w:rPr>
        <w:br/>
        <w:t>28806 Madrid</w:t>
      </w:r>
    </w:p>
    <w:p w:rsidR="004A45C9" w:rsidRDefault="004A45C9" w:rsidP="004A45C9">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Ispanija</w:t>
      </w:r>
    </w:p>
    <w:p w:rsidR="004A45C9" w:rsidRDefault="004A45C9" w:rsidP="004A45C9">
      <w:pPr>
        <w:tabs>
          <w:tab w:val="left" w:pos="567"/>
        </w:tabs>
        <w:spacing w:after="0" w:line="240" w:lineRule="auto"/>
        <w:rPr>
          <w:rFonts w:ascii="Times New Roman" w:hAnsi="Times New Roman" w:cs="Times New Roman"/>
          <w:lang w:val="lt-LT"/>
        </w:rPr>
      </w:pPr>
    </w:p>
    <w:p w:rsidR="004A45C9" w:rsidRDefault="004A45C9" w:rsidP="004A45C9">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Jeigu apie šį vaistą norite sužinoti daugiau, kreipkitės į registruotoją.</w:t>
      </w:r>
    </w:p>
    <w:p w:rsidR="004A45C9" w:rsidRDefault="004A45C9" w:rsidP="004A45C9">
      <w:pPr>
        <w:tabs>
          <w:tab w:val="left" w:pos="567"/>
        </w:tabs>
        <w:spacing w:after="0" w:line="240" w:lineRule="auto"/>
        <w:rPr>
          <w:rFonts w:ascii="Times New Roman" w:hAnsi="Times New Roman" w:cs="Times New Roman"/>
          <w:lang w:val="lt-LT"/>
        </w:rPr>
      </w:pP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UAB „Bayer“</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Sporto 18</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LT-09238 Vilnius</w:t>
      </w:r>
    </w:p>
    <w:p w:rsidR="004A45C9" w:rsidRDefault="004A45C9" w:rsidP="004A45C9">
      <w:pPr>
        <w:spacing w:after="0" w:line="240" w:lineRule="auto"/>
        <w:rPr>
          <w:rFonts w:ascii="Times New Roman" w:hAnsi="Times New Roman" w:cs="Times New Roman"/>
          <w:lang w:val="lt-LT"/>
        </w:rPr>
      </w:pPr>
      <w:r>
        <w:rPr>
          <w:rFonts w:ascii="Times New Roman" w:hAnsi="Times New Roman" w:cs="Times New Roman"/>
          <w:lang w:val="lt-LT"/>
        </w:rPr>
        <w:t>Tel: +370 5 233 68 68</w:t>
      </w:r>
    </w:p>
    <w:p w:rsidR="004A45C9" w:rsidRDefault="004A45C9" w:rsidP="004A45C9">
      <w:pPr>
        <w:tabs>
          <w:tab w:val="left" w:pos="567"/>
        </w:tabs>
        <w:spacing w:after="0" w:line="240" w:lineRule="auto"/>
        <w:rPr>
          <w:rFonts w:ascii="Times New Roman" w:hAnsi="Times New Roman" w:cs="Times New Roman"/>
          <w:lang w:val="lt-LT"/>
        </w:rPr>
      </w:pPr>
    </w:p>
    <w:p w:rsidR="004A45C9" w:rsidRDefault="004A45C9" w:rsidP="004A45C9">
      <w:pPr>
        <w:numPr>
          <w:ilvl w:val="12"/>
          <w:numId w:val="0"/>
        </w:numPr>
        <w:tabs>
          <w:tab w:val="left" w:pos="567"/>
        </w:tabs>
        <w:spacing w:after="0" w:line="260" w:lineRule="exact"/>
        <w:ind w:right="-2"/>
        <w:rPr>
          <w:rFonts w:ascii="Times New Roman" w:hAnsi="Times New Roman" w:cs="Times New Roman"/>
          <w:lang w:val="lt-LT"/>
        </w:rPr>
      </w:pPr>
      <w:r>
        <w:rPr>
          <w:rFonts w:ascii="Times New Roman" w:hAnsi="Times New Roman" w:cs="Times New Roman"/>
          <w:b/>
          <w:lang w:val="lt-LT"/>
        </w:rPr>
        <w:t>Šis vaistas EEE valstybėse narėse registruotas tokiais pavadinimais:</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Čekija, Estija, Latvija, Lietuva, Nyderlandai, Slovakija, Slovėnija, Ispanija, Rumunija.</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Comfort : Vengrija.</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AFRIN ND : Bulgarija, Lenkija.</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NASAROX : Portugalija.</w:t>
      </w:r>
    </w:p>
    <w:p w:rsidR="004A45C9" w:rsidRDefault="004A45C9" w:rsidP="004A45C9">
      <w:pPr>
        <w:numPr>
          <w:ilvl w:val="12"/>
          <w:numId w:val="0"/>
        </w:numPr>
        <w:spacing w:after="0" w:line="240" w:lineRule="auto"/>
        <w:rPr>
          <w:rFonts w:ascii="Times New Roman" w:hAnsi="Times New Roman" w:cs="Times New Roman"/>
          <w:lang w:val="lt-LT"/>
        </w:rPr>
      </w:pPr>
      <w:r>
        <w:rPr>
          <w:rFonts w:ascii="Times New Roman" w:hAnsi="Times New Roman" w:cs="Times New Roman"/>
          <w:lang w:val="lt-LT"/>
        </w:rPr>
        <w:t>Rhinacept : Graikija.</w:t>
      </w: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rPr>
          <w:rFonts w:ascii="Times New Roman" w:hAnsi="Times New Roman" w:cs="Times New Roman"/>
          <w:lang w:val="lt-LT"/>
        </w:rPr>
      </w:pPr>
    </w:p>
    <w:p w:rsidR="004A45C9" w:rsidRDefault="004A45C9" w:rsidP="004A45C9">
      <w:pPr>
        <w:numPr>
          <w:ilvl w:val="12"/>
          <w:numId w:val="0"/>
        </w:numPr>
        <w:spacing w:after="0" w:line="240" w:lineRule="auto"/>
        <w:ind w:right="-2"/>
        <w:outlineLvl w:val="0"/>
        <w:rPr>
          <w:rFonts w:ascii="Times New Roman" w:hAnsi="Times New Roman" w:cs="Times New Roman"/>
          <w:lang w:val="lt-LT"/>
        </w:rPr>
      </w:pPr>
      <w:r>
        <w:rPr>
          <w:rFonts w:ascii="Times New Roman" w:hAnsi="Times New Roman" w:cs="Times New Roman"/>
          <w:b/>
          <w:lang w:val="lt-LT"/>
        </w:rPr>
        <w:t>Šis pakuotės lapelis paskutinį kartą peržiūrėtas 2018-08-27.</w:t>
      </w:r>
    </w:p>
    <w:p w:rsidR="004A45C9" w:rsidRDefault="004A45C9" w:rsidP="004A45C9">
      <w:pPr>
        <w:numPr>
          <w:ilvl w:val="12"/>
          <w:numId w:val="0"/>
        </w:numPr>
        <w:spacing w:after="0" w:line="240" w:lineRule="auto"/>
        <w:ind w:right="-2"/>
        <w:outlineLvl w:val="0"/>
        <w:rPr>
          <w:rFonts w:ascii="Times New Roman" w:hAnsi="Times New Roman" w:cs="Times New Roman"/>
          <w:lang w:val="lt-LT"/>
        </w:rPr>
      </w:pPr>
    </w:p>
    <w:p w:rsidR="004A45C9" w:rsidRDefault="004A45C9" w:rsidP="004A45C9">
      <w:pPr>
        <w:numPr>
          <w:ilvl w:val="12"/>
          <w:numId w:val="0"/>
        </w:numPr>
        <w:spacing w:after="0" w:line="240" w:lineRule="auto"/>
        <w:ind w:right="-2"/>
        <w:outlineLvl w:val="0"/>
        <w:rPr>
          <w:rFonts w:ascii="Times New Roman" w:hAnsi="Times New Roman" w:cs="Times New Roman"/>
          <w:lang w:val="lt-LT"/>
        </w:rPr>
      </w:pPr>
    </w:p>
    <w:p w:rsidR="004A45C9" w:rsidRDefault="004A45C9" w:rsidP="004A45C9">
      <w:pPr>
        <w:tabs>
          <w:tab w:val="left" w:pos="567"/>
        </w:tabs>
        <w:spacing w:after="0" w:line="240" w:lineRule="auto"/>
        <w:rPr>
          <w:rFonts w:ascii="Times New Roman" w:hAnsi="Times New Roman" w:cs="Times New Roman"/>
          <w:lang w:val="lt-LT"/>
        </w:rPr>
      </w:pPr>
      <w:r>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Pr>
            <w:rStyle w:val="Hyperlink"/>
            <w:rFonts w:ascii="Times New Roman" w:hAnsi="Times New Roman" w:cs="Times New Roman"/>
            <w:color w:val="0000FF"/>
            <w:lang w:val="lt-LT"/>
          </w:rPr>
          <w:t>http://www.vvkt.lt/</w:t>
        </w:r>
      </w:hyperlink>
    </w:p>
    <w:p w:rsidR="004A45C9" w:rsidRDefault="004A45C9"/>
    <w:sectPr w:rsidR="004A45C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152519E"/>
    <w:multiLevelType w:val="hybridMultilevel"/>
    <w:tmpl w:val="B56C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72E3E"/>
    <w:multiLevelType w:val="hybridMultilevel"/>
    <w:tmpl w:val="101081E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0"/>
    <w:lvlOverride w:ilvl="0">
      <w:lvl w:ilvl="0">
        <w:numFmt w:val="bullet"/>
        <w:lvlText w:val="-"/>
        <w:legacy w:legacy="1" w:legacySpace="0" w:legacyIndent="360"/>
        <w:lvlJc w:val="left"/>
        <w:pPr>
          <w:ind w:left="360" w:hanging="360"/>
        </w:pPr>
        <w:rPr>
          <w:rFonts w:cs="Times New Roman"/>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C9"/>
    <w:rsid w:val="004A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CF78D-4C44-42D3-8686-2C075CC4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2021-02-26T08:53:00Z</dcterms:created>
  <dcterms:modified xsi:type="dcterms:W3CDTF">2021-02-26T08:53:00Z</dcterms:modified>
</cp:coreProperties>
</file>