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27D3D" w:rsidRDefault="00027D3D" w:rsidP="00027D3D">
      <w:pPr>
        <w:keepNext/>
        <w:keepLines/>
        <w:tabs>
          <w:tab w:val="left" w:pos="720"/>
        </w:tabs>
        <w:spacing w:line="240" w:lineRule="auto"/>
        <w:jc w:val="center"/>
        <w:rPr>
          <w:rFonts w:eastAsia="Times New Roman"/>
          <w:b/>
          <w:lang w:val="lt-LT"/>
        </w:rPr>
      </w:pPr>
      <w:r>
        <w:rPr>
          <w:rFonts w:eastAsia="Times New Roman"/>
          <w:b/>
          <w:lang w:val="lt-LT"/>
        </w:rPr>
        <w:t>Pakuotės lapelis: informacija vartotojui</w:t>
      </w:r>
    </w:p>
    <w:p w:rsidR="00027D3D" w:rsidRDefault="00027D3D" w:rsidP="00027D3D">
      <w:pPr>
        <w:keepNext/>
        <w:keepLines/>
        <w:tabs>
          <w:tab w:val="left" w:pos="720"/>
        </w:tabs>
        <w:spacing w:line="240" w:lineRule="auto"/>
        <w:jc w:val="center"/>
        <w:rPr>
          <w:rFonts w:eastAsia="Times New Roman"/>
          <w:b/>
          <w:lang w:val="lt-LT"/>
        </w:rPr>
      </w:pPr>
    </w:p>
    <w:p w:rsidR="00027D3D" w:rsidRDefault="00027D3D" w:rsidP="00027D3D">
      <w:pPr>
        <w:keepNext/>
        <w:keepLines/>
        <w:tabs>
          <w:tab w:val="left" w:pos="720"/>
        </w:tabs>
        <w:spacing w:line="240" w:lineRule="auto"/>
        <w:jc w:val="center"/>
        <w:rPr>
          <w:rFonts w:eastAsia="Times New Roman"/>
          <w:b/>
          <w:lang w:val="lt-LT"/>
        </w:rPr>
      </w:pPr>
      <w:r>
        <w:rPr>
          <w:rFonts w:eastAsia="Times New Roman"/>
          <w:b/>
          <w:lang w:val="lt-LT"/>
        </w:rPr>
        <w:t>EFFERALGAN 80 mg žvakutės</w:t>
      </w:r>
    </w:p>
    <w:p w:rsidR="00027D3D" w:rsidRDefault="00027D3D" w:rsidP="00027D3D">
      <w:pPr>
        <w:keepNext/>
        <w:keepLines/>
        <w:tabs>
          <w:tab w:val="left" w:pos="720"/>
        </w:tabs>
        <w:spacing w:line="240" w:lineRule="auto"/>
        <w:jc w:val="center"/>
        <w:rPr>
          <w:rFonts w:eastAsia="Times New Roman"/>
          <w:b/>
          <w:lang w:val="lt-LT"/>
        </w:rPr>
      </w:pPr>
      <w:r>
        <w:rPr>
          <w:rFonts w:eastAsia="Times New Roman"/>
          <w:b/>
          <w:lang w:val="lt-LT"/>
        </w:rPr>
        <w:t>EFFERALGAN 150 mg žvakutės</w:t>
      </w:r>
    </w:p>
    <w:p w:rsidR="00027D3D" w:rsidRDefault="00027D3D" w:rsidP="00027D3D">
      <w:pPr>
        <w:keepNext/>
        <w:keepLines/>
        <w:tabs>
          <w:tab w:val="left" w:pos="720"/>
        </w:tabs>
        <w:spacing w:line="240" w:lineRule="auto"/>
        <w:jc w:val="center"/>
        <w:rPr>
          <w:rFonts w:eastAsia="Times New Roman"/>
          <w:b/>
          <w:lang w:val="lt-LT"/>
        </w:rPr>
      </w:pPr>
    </w:p>
    <w:p w:rsidR="00027D3D" w:rsidRDefault="00027D3D" w:rsidP="00027D3D">
      <w:pPr>
        <w:keepNext/>
        <w:keepLines/>
        <w:tabs>
          <w:tab w:val="left" w:pos="720"/>
        </w:tabs>
        <w:spacing w:line="240" w:lineRule="auto"/>
        <w:jc w:val="center"/>
        <w:rPr>
          <w:rFonts w:eastAsia="Times New Roman"/>
          <w:lang w:val="lt-LT"/>
        </w:rPr>
      </w:pPr>
      <w:r>
        <w:rPr>
          <w:rFonts w:eastAsia="Times New Roman"/>
          <w:lang w:val="lt-LT"/>
        </w:rPr>
        <w:t>Paracetamolis</w:t>
      </w:r>
    </w:p>
    <w:p w:rsidR="00027D3D" w:rsidRDefault="00027D3D" w:rsidP="00027D3D">
      <w:pPr>
        <w:keepNext/>
        <w:keepLines/>
        <w:tabs>
          <w:tab w:val="left" w:pos="720"/>
        </w:tabs>
        <w:spacing w:line="240" w:lineRule="auto"/>
        <w:jc w:val="center"/>
        <w:rPr>
          <w:rFonts w:eastAsia="Times New Roman"/>
          <w:b/>
          <w:lang w:val="lt-LT"/>
        </w:rPr>
      </w:pPr>
    </w:p>
    <w:p w:rsidR="00027D3D" w:rsidRDefault="00027D3D" w:rsidP="00027D3D">
      <w:pPr>
        <w:keepNext/>
        <w:keepLines/>
        <w:tabs>
          <w:tab w:val="left" w:pos="720"/>
        </w:tabs>
        <w:spacing w:line="240" w:lineRule="auto"/>
        <w:outlineLvl w:val="2"/>
        <w:rPr>
          <w:rFonts w:eastAsia="Times New Roman"/>
          <w:b/>
          <w:highlight w:val="yellow"/>
          <w:lang w:val="lt-LT"/>
        </w:rPr>
      </w:pPr>
      <w:r>
        <w:rPr>
          <w:rFonts w:eastAsia="Times New Roman"/>
          <w:b/>
          <w:lang w:val="lt-LT"/>
        </w:rPr>
        <w:t>Atidžiai perskaitykite visą šį lapelį, prieš pradėdami vartoti šį vaistą, nes jame pateikiama Jums svarbi informacija.</w:t>
      </w:r>
    </w:p>
    <w:p w:rsidR="00027D3D" w:rsidRDefault="00027D3D" w:rsidP="00027D3D">
      <w:pPr>
        <w:tabs>
          <w:tab w:val="left" w:pos="720"/>
        </w:tabs>
        <w:spacing w:line="240" w:lineRule="auto"/>
        <w:rPr>
          <w:rFonts w:eastAsia="Times New Roman"/>
          <w:lang w:val="lt-LT"/>
        </w:rPr>
      </w:pPr>
      <w:r>
        <w:rPr>
          <w:rFonts w:eastAsia="Times New Roman"/>
          <w:lang w:val="lt-LT"/>
        </w:rPr>
        <w:t>Visada vartokite šį vaistą tiksliai kaip aprašyta šiame lapelyje arba kaip nurodė gydytojas.</w:t>
      </w:r>
    </w:p>
    <w:p w:rsidR="00027D3D" w:rsidRDefault="00027D3D" w:rsidP="00027D3D">
      <w:pPr>
        <w:pStyle w:val="ListParagraph"/>
        <w:numPr>
          <w:ilvl w:val="0"/>
          <w:numId w:val="1"/>
        </w:numPr>
        <w:tabs>
          <w:tab w:val="clear" w:pos="567"/>
          <w:tab w:val="left" w:pos="720"/>
        </w:tabs>
        <w:spacing w:line="240" w:lineRule="auto"/>
        <w:ind w:left="567" w:hanging="567"/>
        <w:rPr>
          <w:rFonts w:eastAsia="Times New Roman"/>
          <w:szCs w:val="22"/>
          <w:lang w:val="lt-LT"/>
        </w:rPr>
      </w:pPr>
      <w:r>
        <w:rPr>
          <w:rFonts w:eastAsia="Times New Roman"/>
          <w:szCs w:val="22"/>
          <w:lang w:val="lt-LT"/>
        </w:rPr>
        <w:t>Neišmeskite šio lapelio, nes vėl gali prireikti jį perskaityti.</w:t>
      </w:r>
    </w:p>
    <w:p w:rsidR="00027D3D" w:rsidRDefault="00027D3D" w:rsidP="00027D3D">
      <w:pPr>
        <w:pStyle w:val="ListParagraph"/>
        <w:numPr>
          <w:ilvl w:val="0"/>
          <w:numId w:val="1"/>
        </w:numPr>
        <w:tabs>
          <w:tab w:val="clear" w:pos="567"/>
          <w:tab w:val="left" w:pos="720"/>
        </w:tabs>
        <w:spacing w:line="240" w:lineRule="auto"/>
        <w:ind w:left="567" w:hanging="567"/>
        <w:rPr>
          <w:rFonts w:eastAsia="Times New Roman"/>
          <w:szCs w:val="22"/>
          <w:lang w:val="lt-LT"/>
        </w:rPr>
      </w:pPr>
      <w:r>
        <w:rPr>
          <w:rFonts w:eastAsia="Times New Roman"/>
          <w:szCs w:val="22"/>
          <w:lang w:val="lt-LT"/>
        </w:rPr>
        <w:t>Jeigu norite sužinoti daugiau arba pasitarti, kreipkitės į vaistininką.</w:t>
      </w:r>
    </w:p>
    <w:p w:rsidR="00027D3D" w:rsidRDefault="00027D3D" w:rsidP="00027D3D">
      <w:pPr>
        <w:pStyle w:val="ListParagraph"/>
        <w:numPr>
          <w:ilvl w:val="0"/>
          <w:numId w:val="1"/>
        </w:numPr>
        <w:tabs>
          <w:tab w:val="clear" w:pos="567"/>
          <w:tab w:val="left" w:pos="720"/>
        </w:tabs>
        <w:spacing w:line="240" w:lineRule="auto"/>
        <w:ind w:left="567" w:hanging="567"/>
        <w:rPr>
          <w:rFonts w:eastAsia="Times New Roman"/>
          <w:szCs w:val="22"/>
          <w:lang w:val="lt-LT"/>
        </w:rPr>
      </w:pPr>
      <w:r>
        <w:rPr>
          <w:rFonts w:eastAsia="Times New Roman"/>
          <w:szCs w:val="22"/>
          <w:lang w:val="lt-LT"/>
        </w:rPr>
        <w:t>Jeigu pasireiškė šalutinis poveikis (net jeigu jis šiame lapelyje nenurodytas), kreipkitės į gydytoją arba vaistininką. Žr. 4 skyrių.</w:t>
      </w:r>
    </w:p>
    <w:p w:rsidR="00027D3D" w:rsidRDefault="00027D3D" w:rsidP="00027D3D">
      <w:pPr>
        <w:pStyle w:val="ListParagraph"/>
        <w:numPr>
          <w:ilvl w:val="0"/>
          <w:numId w:val="1"/>
        </w:numPr>
        <w:tabs>
          <w:tab w:val="clear" w:pos="567"/>
          <w:tab w:val="left" w:pos="720"/>
        </w:tabs>
        <w:spacing w:line="240" w:lineRule="auto"/>
        <w:ind w:left="567" w:hanging="567"/>
        <w:rPr>
          <w:rFonts w:eastAsia="Times New Roman"/>
          <w:szCs w:val="22"/>
          <w:lang w:val="lt-LT"/>
        </w:rPr>
      </w:pPr>
      <w:r>
        <w:rPr>
          <w:rFonts w:eastAsia="Times New Roman"/>
          <w:szCs w:val="22"/>
          <w:lang w:val="lt-LT"/>
        </w:rPr>
        <w:t>Jeigu per 3 dienas savijauta nepagerėjo arba net pablogėjo, kreipkitės į gydytoją.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
          <w:lang w:val="lt-LT"/>
        </w:rPr>
      </w:pPr>
      <w:r>
        <w:rPr>
          <w:rFonts w:eastAsia="Times New Roman"/>
          <w:b/>
          <w:lang w:val="lt-LT"/>
        </w:rPr>
        <w:t>Apie ką rašoma šiame lapelyje?</w:t>
      </w:r>
    </w:p>
    <w:p w:rsidR="00027D3D" w:rsidRDefault="00027D3D" w:rsidP="00027D3D">
      <w:pPr>
        <w:tabs>
          <w:tab w:val="left" w:pos="720"/>
        </w:tabs>
        <w:spacing w:line="240" w:lineRule="auto"/>
        <w:rPr>
          <w:rFonts w:eastAsia="Times New Roman"/>
          <w:b/>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1.</w:t>
      </w:r>
      <w:r>
        <w:rPr>
          <w:rFonts w:eastAsia="Times New Roman"/>
          <w:lang w:val="lt-LT"/>
        </w:rPr>
        <w:tab/>
        <w:t>Kas yra EFFERALGAN ir kam jis vartojamas</w:t>
      </w:r>
    </w:p>
    <w:p w:rsidR="00027D3D" w:rsidRDefault="00027D3D" w:rsidP="00027D3D">
      <w:pPr>
        <w:tabs>
          <w:tab w:val="left" w:pos="720"/>
        </w:tabs>
        <w:spacing w:line="240" w:lineRule="auto"/>
        <w:rPr>
          <w:rFonts w:eastAsia="Times New Roman"/>
          <w:lang w:val="lt-LT"/>
        </w:rPr>
      </w:pPr>
      <w:r>
        <w:rPr>
          <w:rFonts w:eastAsia="Times New Roman"/>
          <w:lang w:val="lt-LT"/>
        </w:rPr>
        <w:t>2.</w:t>
      </w:r>
      <w:r>
        <w:rPr>
          <w:rFonts w:eastAsia="Times New Roman"/>
          <w:lang w:val="lt-LT"/>
        </w:rPr>
        <w:tab/>
        <w:t>Kas žinotina prieš vartojant EFFERALGAN</w:t>
      </w:r>
    </w:p>
    <w:p w:rsidR="00027D3D" w:rsidRDefault="00027D3D" w:rsidP="00027D3D">
      <w:pPr>
        <w:tabs>
          <w:tab w:val="left" w:pos="720"/>
        </w:tabs>
        <w:spacing w:line="240" w:lineRule="auto"/>
        <w:rPr>
          <w:rFonts w:eastAsia="Times New Roman"/>
          <w:lang w:val="lt-LT"/>
        </w:rPr>
      </w:pPr>
      <w:r>
        <w:rPr>
          <w:rFonts w:eastAsia="Times New Roman"/>
          <w:lang w:val="lt-LT"/>
        </w:rPr>
        <w:t>3.</w:t>
      </w:r>
      <w:r>
        <w:rPr>
          <w:rFonts w:eastAsia="Times New Roman"/>
          <w:lang w:val="lt-LT"/>
        </w:rPr>
        <w:tab/>
        <w:t>Kaip vartoti EFFERALGAN</w:t>
      </w:r>
    </w:p>
    <w:p w:rsidR="00027D3D" w:rsidRDefault="00027D3D" w:rsidP="00027D3D">
      <w:pPr>
        <w:tabs>
          <w:tab w:val="left" w:pos="720"/>
        </w:tabs>
        <w:spacing w:line="240" w:lineRule="auto"/>
        <w:rPr>
          <w:rFonts w:eastAsia="Times New Roman"/>
          <w:lang w:val="lt-LT"/>
        </w:rPr>
      </w:pPr>
      <w:r>
        <w:rPr>
          <w:rFonts w:eastAsia="Times New Roman"/>
          <w:lang w:val="lt-LT"/>
        </w:rPr>
        <w:t>4.</w:t>
      </w:r>
      <w:r>
        <w:rPr>
          <w:rFonts w:eastAsia="Times New Roman"/>
          <w:lang w:val="lt-LT"/>
        </w:rPr>
        <w:tab/>
        <w:t>Galimas šalutinis poveikis</w:t>
      </w:r>
    </w:p>
    <w:p w:rsidR="00027D3D" w:rsidRDefault="00027D3D" w:rsidP="00027D3D">
      <w:pPr>
        <w:tabs>
          <w:tab w:val="left" w:pos="720"/>
        </w:tabs>
        <w:spacing w:line="240" w:lineRule="auto"/>
        <w:rPr>
          <w:rFonts w:eastAsia="Times New Roman"/>
          <w:lang w:val="lt-LT"/>
        </w:rPr>
      </w:pPr>
      <w:r>
        <w:rPr>
          <w:rFonts w:eastAsia="Times New Roman"/>
          <w:lang w:val="lt-LT"/>
        </w:rPr>
        <w:t>5.</w:t>
      </w:r>
      <w:r>
        <w:rPr>
          <w:rFonts w:eastAsia="Times New Roman"/>
          <w:lang w:val="lt-LT"/>
        </w:rPr>
        <w:tab/>
        <w:t>Kaip laikyti EFFERALGAN</w:t>
      </w:r>
    </w:p>
    <w:p w:rsidR="00027D3D" w:rsidRDefault="00027D3D" w:rsidP="00027D3D">
      <w:pPr>
        <w:tabs>
          <w:tab w:val="left" w:pos="720"/>
        </w:tabs>
        <w:spacing w:line="240" w:lineRule="auto"/>
        <w:rPr>
          <w:rFonts w:eastAsia="Times New Roman"/>
          <w:lang w:val="lt-LT"/>
        </w:rPr>
      </w:pPr>
      <w:r>
        <w:rPr>
          <w:rFonts w:eastAsia="Times New Roman"/>
          <w:lang w:val="lt-LT"/>
        </w:rPr>
        <w:t>6.</w:t>
      </w:r>
      <w:r>
        <w:rPr>
          <w:rFonts w:eastAsia="Times New Roman"/>
          <w:lang w:val="lt-LT"/>
        </w:rPr>
        <w:tab/>
        <w:t>Pakuotės turinys ir kita informacija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p>
    <w:p w:rsidR="00027D3D" w:rsidRDefault="00027D3D" w:rsidP="00027D3D">
      <w:pPr>
        <w:keepNext/>
        <w:spacing w:line="240" w:lineRule="auto"/>
        <w:ind w:left="567" w:hanging="567"/>
        <w:outlineLvl w:val="1"/>
        <w:rPr>
          <w:rFonts w:eastAsia="Times New Roman"/>
          <w:b/>
          <w:lang w:val="lt-LT"/>
        </w:rPr>
      </w:pPr>
      <w:bookmarkStart w:id="0" w:name="_Toc129243264"/>
      <w:bookmarkStart w:id="1" w:name="_Toc129243139"/>
      <w:r>
        <w:rPr>
          <w:rFonts w:eastAsia="Times New Roman"/>
          <w:b/>
          <w:lang w:val="lt-LT"/>
        </w:rPr>
        <w:t>1.</w:t>
      </w:r>
      <w:r>
        <w:rPr>
          <w:rFonts w:eastAsia="Times New Roman"/>
          <w:b/>
          <w:lang w:val="lt-LT"/>
        </w:rPr>
        <w:tab/>
        <w:t>Kas yra EFFERALGAN ir kam jis vartojamas</w:t>
      </w:r>
      <w:bookmarkEnd w:id="0"/>
      <w:bookmarkEnd w:id="1"/>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EFFERALGAN - tai vaistas lengvo ir vidutinio stiprumo skausmui (pvz., galvos, dantų, gerklės, raumenų) malšinti ir trumpą laiką karščiavimui mažinti.</w:t>
      </w:r>
    </w:p>
    <w:p w:rsidR="00027D3D" w:rsidRDefault="00027D3D" w:rsidP="00027D3D">
      <w:pPr>
        <w:tabs>
          <w:tab w:val="left" w:pos="720"/>
        </w:tabs>
        <w:spacing w:line="240" w:lineRule="auto"/>
        <w:rPr>
          <w:rFonts w:eastAsia="Times New Roman"/>
          <w:lang w:val="lt-LT"/>
        </w:rPr>
      </w:pPr>
      <w:r>
        <w:rPr>
          <w:rFonts w:eastAsia="Times New Roman"/>
          <w:lang w:val="lt-LT"/>
        </w:rPr>
        <w:t>Jeigu per 3 dienas Jūsų savijauta nepagerėjo arba net pablogėjo, kreipkitės į gydytoją.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p>
    <w:p w:rsidR="00027D3D" w:rsidRDefault="00027D3D" w:rsidP="00027D3D">
      <w:pPr>
        <w:keepNext/>
        <w:spacing w:line="240" w:lineRule="auto"/>
        <w:ind w:left="567" w:hanging="567"/>
        <w:outlineLvl w:val="1"/>
        <w:rPr>
          <w:rFonts w:eastAsia="Times New Roman"/>
          <w:b/>
          <w:lang w:val="lt-LT"/>
        </w:rPr>
      </w:pPr>
      <w:bookmarkStart w:id="2" w:name="_Toc129243265"/>
      <w:bookmarkStart w:id="3" w:name="_Toc129243140"/>
      <w:r>
        <w:rPr>
          <w:rFonts w:eastAsia="Times New Roman"/>
          <w:b/>
          <w:lang w:val="lt-LT"/>
        </w:rPr>
        <w:t>2.</w:t>
      </w:r>
      <w:r>
        <w:rPr>
          <w:rFonts w:eastAsia="Times New Roman"/>
          <w:b/>
          <w:lang w:val="lt-LT"/>
        </w:rPr>
        <w:tab/>
        <w:t>Kas žinotina prieš vartojant EFFERALGAN</w:t>
      </w:r>
      <w:bookmarkEnd w:id="2"/>
      <w:bookmarkEnd w:id="3"/>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EFFERALGAN vartoti negalima: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 xml:space="preserve">jeigu yra alergija paracetamoliui, </w:t>
      </w:r>
      <w:r>
        <w:t xml:space="preserve">žemės riešutams, sojai </w:t>
      </w:r>
      <w:r>
        <w:rPr>
          <w:rFonts w:eastAsia="Times New Roman"/>
          <w:lang w:val="lt-LT"/>
        </w:rPr>
        <w:t>arba bet kuriai pagalbinei šio vaisto medžiagai (jos išvardytos 6 skyriuje);</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vaikas serga sunkia arba nekompensuota aktyvia kepenų liga;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vaikas viduriuoja;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neseniai buvo analinės srities arba tiesiosios žarnos uždegimas arba kraujavimas iš tiesiosios žarnos.</w:t>
      </w:r>
    </w:p>
    <w:p w:rsidR="00027D3D" w:rsidRDefault="00027D3D" w:rsidP="00027D3D">
      <w:pPr>
        <w:tabs>
          <w:tab w:val="left" w:pos="720"/>
        </w:tabs>
        <w:spacing w:line="240" w:lineRule="auto"/>
        <w:rPr>
          <w:rFonts w:eastAsia="Times New Roman"/>
          <w:lang w:val="lt-LT"/>
        </w:rPr>
      </w:pPr>
    </w:p>
    <w:p w:rsidR="00027D3D" w:rsidRDefault="00027D3D" w:rsidP="00027D3D">
      <w:pPr>
        <w:suppressLineNumbers/>
        <w:tabs>
          <w:tab w:val="left" w:pos="720"/>
        </w:tabs>
        <w:spacing w:line="240" w:lineRule="auto"/>
        <w:rPr>
          <w:rFonts w:eastAsia="Times New Roman"/>
          <w:b/>
          <w:lang w:val="lt-LT"/>
        </w:rPr>
      </w:pPr>
      <w:r>
        <w:rPr>
          <w:rFonts w:eastAsia="Times New Roman"/>
          <w:b/>
          <w:lang w:val="lt-LT"/>
        </w:rPr>
        <w:t>Įspėjimai ir atsargumo priemonės</w:t>
      </w:r>
    </w:p>
    <w:p w:rsidR="00027D3D" w:rsidRDefault="00027D3D" w:rsidP="00027D3D">
      <w:pPr>
        <w:tabs>
          <w:tab w:val="left" w:pos="720"/>
        </w:tabs>
        <w:spacing w:line="240" w:lineRule="auto"/>
        <w:rPr>
          <w:rFonts w:eastAsia="Times New Roman"/>
          <w:lang w:val="lt-LT"/>
        </w:rPr>
      </w:pPr>
      <w:r>
        <w:rPr>
          <w:rFonts w:eastAsia="Times New Roman"/>
          <w:lang w:val="lt-LT"/>
        </w:rPr>
        <w:t>Pasitarkite su gydytoju arba vaistininku, prieš pradėdami vartoti EFFERALGAN:</w:t>
      </w:r>
    </w:p>
    <w:p w:rsidR="00027D3D" w:rsidRDefault="00027D3D" w:rsidP="00027D3D">
      <w:pPr>
        <w:tabs>
          <w:tab w:val="left" w:pos="720"/>
        </w:tabs>
        <w:spacing w:line="240" w:lineRule="auto"/>
        <w:rPr>
          <w:rFonts w:eastAsia="Times New Roman"/>
          <w:lang w:val="lt-LT"/>
        </w:rPr>
      </w:pP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vaikas serga sunkia inkstų liga, (prieš duodami jam paracetamolio, pasikonsultuokite su gydytoju);</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vaikas serga Žilbero sindromu (šeimine hiperbilirubinemija);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Jūsų vaiką vargina apetito stoka, vilko apetitas, išsekimas (kacheksija) arba ilgai netinkamai maitinosi;</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gerokai sumažėjęs vaiko kūno svoris dėl skysčių netekimo (dehidratacija, hipovolemija);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 gydytojas nurodė ištirti šlapimo rūgšties arba cukraus kiekį kraujyje, informuokite jį apie šio vaisto vartojimą;</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kai jaučiamas skausmas analinėje srityje ar yra kitų lokalaus suerzinimo požymių;</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yra vadinamoji gliukozės-6 fosfato dehidrogenazės (G6FD) stoka;</w:t>
      </w:r>
    </w:p>
    <w:p w:rsidR="00027D3D" w:rsidRDefault="00027D3D" w:rsidP="00027D3D">
      <w:pPr>
        <w:numPr>
          <w:ilvl w:val="0"/>
          <w:numId w:val="2"/>
        </w:numPr>
        <w:snapToGrid w:val="0"/>
        <w:spacing w:after="0" w:line="240" w:lineRule="auto"/>
        <w:rPr>
          <w:rFonts w:eastAsia="Times New Roman"/>
          <w:lang w:val="lt-LT"/>
        </w:rPr>
      </w:pPr>
      <w:r>
        <w:rPr>
          <w:rFonts w:eastAsia="Times New Roman"/>
          <w:lang w:val="lt-LT"/>
        </w:rPr>
        <w:t>jeigu vartojate arba vartosite antibiotiko flukloksacilino. Paracetamolio vartojant kartu su flukloksacilinu, ypač jei vartojamos didžiausios paracetamolio paros dozės, kyla kraujo ir skysčių nukrypimų nuo normos (padidėjusio anijoninio tarpo esant metabolinei acidozei), kurių atsiranda padidėjus plazmos rūgštingumui, rizika, ypač tam tikrų rizikos grupių pacientams, pvz., pacientams, kuriems yra sunkus inkstų veiklos sutrikimas, sepsis, prastos mitybos sukeltų sutrikimų arba lėtinis alkoholizmas. Padidėjęs anijoninis tarpas esant metabolinei acidozei yra sunki liga, kurią būtina nedelsiant gydyti.</w:t>
      </w:r>
    </w:p>
    <w:p w:rsidR="00027D3D" w:rsidRDefault="00027D3D" w:rsidP="00027D3D">
      <w:pPr>
        <w:tabs>
          <w:tab w:val="left" w:pos="720"/>
        </w:tabs>
        <w:spacing w:line="240" w:lineRule="auto"/>
        <w:ind w:left="357"/>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Paracetamolis gali sukelti sunkių odos reakcijų, kurios gali būti mirtinos, todėl atsiradus pirmiesiems odos išbėrimo ar bet kokiems kitiems padidėjusio jautrumo požymiams, šio vaisto vartojimą reikia nedelsiant nutraukti ir kreiptis į gydytoją.</w:t>
      </w:r>
    </w:p>
    <w:p w:rsidR="00027D3D" w:rsidRDefault="00027D3D" w:rsidP="00027D3D">
      <w:pPr>
        <w:keepNext/>
        <w:keepLines/>
        <w:tabs>
          <w:tab w:val="left" w:pos="720"/>
        </w:tabs>
        <w:spacing w:line="240" w:lineRule="auto"/>
        <w:ind w:left="567" w:hanging="567"/>
        <w:outlineLvl w:val="1"/>
        <w:rPr>
          <w:rFonts w:eastAsia="Times New Roman"/>
          <w:b/>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Kiti vaistai ir EFFERALGAN</w:t>
      </w:r>
    </w:p>
    <w:p w:rsidR="00027D3D" w:rsidRDefault="00027D3D" w:rsidP="00027D3D">
      <w:pPr>
        <w:tabs>
          <w:tab w:val="left" w:pos="720"/>
        </w:tabs>
        <w:spacing w:line="240" w:lineRule="auto"/>
        <w:rPr>
          <w:rFonts w:eastAsia="Times New Roman"/>
          <w:i/>
          <w:lang w:val="lt-LT"/>
        </w:rPr>
      </w:pPr>
      <w:r>
        <w:rPr>
          <w:rFonts w:eastAsia="Times New Roman"/>
          <w:lang w:val="lt-LT"/>
        </w:rPr>
        <w:t>Jeigu Jūsų vaikas vartoja arba neseniai vartojo kitų vaistų arba dėl to nesate tikri, apie tai pasakykite gydytojui.</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Jei ligonis kartu su paracetamoliu vartoja kitų vaistų</w:t>
      </w:r>
      <w:r>
        <w:rPr>
          <w:rFonts w:eastAsia="Times New Roman"/>
          <w:i/>
          <w:lang w:val="lt-LT"/>
        </w:rPr>
        <w:t>, kurie aktyvina kepenų fermentus</w:t>
      </w:r>
      <w:r>
        <w:rPr>
          <w:rFonts w:eastAsia="Times New Roman"/>
          <w:lang w:val="lt-LT"/>
        </w:rPr>
        <w:t>, pavyzdžiui, tam tikrų rūšių migdomųjų ir antiepilepsinių vaistų (</w:t>
      </w:r>
      <w:r>
        <w:rPr>
          <w:rFonts w:eastAsia="Times New Roman"/>
          <w:i/>
          <w:lang w:val="lt-LT"/>
        </w:rPr>
        <w:t>fenobarbitalio, fenitoino, karbamazepino)</w:t>
      </w:r>
      <w:r>
        <w:rPr>
          <w:rFonts w:eastAsia="Times New Roman"/>
          <w:lang w:val="lt-LT"/>
        </w:rPr>
        <w:t>, taip pat antibakterinių (</w:t>
      </w:r>
      <w:r>
        <w:rPr>
          <w:rFonts w:eastAsia="Times New Roman"/>
          <w:i/>
          <w:lang w:val="lt-LT"/>
        </w:rPr>
        <w:t>izoniazido, rifampicino</w:t>
      </w:r>
      <w:r>
        <w:rPr>
          <w:rFonts w:eastAsia="Times New Roman"/>
          <w:lang w:val="lt-LT"/>
        </w:rPr>
        <w:t>), šiaip nekenksmingos paracetamolio dozės gali pažeisti kepenis.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color w:val="000000"/>
          <w:lang w:val="lt-LT"/>
        </w:rPr>
        <w:t xml:space="preserve">Kartu su paracetamoliu vartojant </w:t>
      </w:r>
      <w:r>
        <w:rPr>
          <w:rFonts w:eastAsia="Times New Roman"/>
          <w:i/>
          <w:color w:val="000000"/>
          <w:lang w:val="lt-LT"/>
        </w:rPr>
        <w:t>chloramfenikolio</w:t>
      </w:r>
      <w:r>
        <w:rPr>
          <w:rFonts w:eastAsia="Times New Roman"/>
          <w:color w:val="000000"/>
          <w:lang w:val="lt-LT"/>
        </w:rPr>
        <w:t>, pastarojo vaisto išsiskyrimas gali gerokai sulėtėti, todėl padidėja toksinio poveikio pavojus</w:t>
      </w:r>
      <w:r>
        <w:rPr>
          <w:rFonts w:eastAsia="Times New Roman"/>
          <w:lang w:val="lt-LT"/>
        </w:rPr>
        <w:t>.</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Paracetamolį vartojant kartu su zidovudinu, gali padidėti sunkių kraujodaros sutrikimų (neutropenijos) pavojus, todėl šiuos vaistinius preparatus galima vartoti kartu tik gydytojui nurodžius.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Kartu vartojant paracetamolį ir geriamuosius krešėjimą slopinančius vaistus (pvz., varfariną), gali šiek tiek pakisti tarptautinis normalizuotas santykis (TNR) bei padidėti kraujavimo pavojus.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EFFERALGAN negalima vartoti kartu su kitais vaistais, kurių sudėtyje yra paracetamolio (įskaitant receptinius ir nereceptinius), kad nebūtų viršyta rekomenduojama paros dozė. Netyčinis perdozavimas gali sukelti sunkų kepenų pažeidimą ir mirtį.</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Cs/>
          <w:lang w:val="lt-LT"/>
        </w:rPr>
      </w:pPr>
      <w:r>
        <w:rPr>
          <w:rFonts w:eastAsia="Times New Roman"/>
          <w:lang w:val="lt-LT"/>
        </w:rPr>
        <w:t>Paracetamolio vartoti kartu su acetilsalicilo rūgštimi ar kitais skausmą malšinančiais preparatais nerekomenduojama.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
          <w:lang w:val="lt-LT"/>
        </w:rPr>
      </w:pPr>
      <w:r>
        <w:rPr>
          <w:rFonts w:eastAsia="Times New Roman"/>
          <w:b/>
          <w:lang w:val="lt-LT"/>
        </w:rPr>
        <w:t>Nėštumas ir žindymo laikotarpis</w:t>
      </w:r>
    </w:p>
    <w:p w:rsidR="00027D3D" w:rsidRDefault="00027D3D" w:rsidP="00027D3D">
      <w:pPr>
        <w:tabs>
          <w:tab w:val="left" w:pos="720"/>
        </w:tabs>
        <w:spacing w:line="240" w:lineRule="auto"/>
        <w:rPr>
          <w:rFonts w:eastAsia="Times New Roman"/>
          <w:lang w:val="lt-LT"/>
        </w:rPr>
      </w:pPr>
      <w:r>
        <w:rPr>
          <w:rFonts w:eastAsia="Times New Roman"/>
          <w:lang w:val="lt-LT"/>
        </w:rPr>
        <w:t>Šis vaistas skirtas vartoti vaikams.</w:t>
      </w:r>
    </w:p>
    <w:p w:rsidR="00027D3D" w:rsidRDefault="00027D3D" w:rsidP="00027D3D">
      <w:pPr>
        <w:tabs>
          <w:tab w:val="left" w:pos="720"/>
        </w:tabs>
        <w:spacing w:line="240" w:lineRule="auto"/>
        <w:rPr>
          <w:rFonts w:eastAsia="Times New Roman"/>
          <w:lang w:val="lt-LT"/>
        </w:rPr>
      </w:pPr>
      <w:r>
        <w:rPr>
          <w:rFonts w:eastAsia="Times New Roman"/>
          <w:lang w:val="lt-LT"/>
        </w:rPr>
        <w:t>Prieš vartojant bet kokį vaistą, būtina pasitarti su gydytoju arba vaistininku.</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
          <w:lang w:val="lt-LT"/>
        </w:rPr>
      </w:pPr>
      <w:r>
        <w:rPr>
          <w:rFonts w:eastAsia="Times New Roman"/>
          <w:b/>
          <w:lang w:val="lt-LT"/>
        </w:rPr>
        <w:t>Vairavimas ir mechanizmų valdymas</w:t>
      </w:r>
    </w:p>
    <w:p w:rsidR="00027D3D" w:rsidRDefault="00027D3D" w:rsidP="00027D3D">
      <w:pPr>
        <w:tabs>
          <w:tab w:val="left" w:pos="720"/>
        </w:tabs>
        <w:spacing w:line="240" w:lineRule="auto"/>
        <w:rPr>
          <w:rFonts w:eastAsia="Times New Roman"/>
          <w:lang w:val="lt-LT"/>
        </w:rPr>
      </w:pPr>
      <w:r>
        <w:rPr>
          <w:rFonts w:eastAsia="Times New Roman"/>
          <w:lang w:val="lt-LT"/>
        </w:rPr>
        <w:t>Šis vaistas skirtas vartoti vaikams. Poveikio gebėjimui vairuoti ir valdyti mechanizmus nepastebėta.</w:t>
      </w:r>
    </w:p>
    <w:p w:rsidR="00027D3D" w:rsidRDefault="00027D3D" w:rsidP="00027D3D">
      <w:pPr>
        <w:tabs>
          <w:tab w:val="left" w:pos="720"/>
        </w:tabs>
        <w:spacing w:line="240" w:lineRule="auto"/>
        <w:rPr>
          <w:rFonts w:eastAsia="Times New Roman"/>
          <w:lang w:val="lt-LT"/>
        </w:rPr>
      </w:pPr>
    </w:p>
    <w:p w:rsidR="00027D3D" w:rsidRDefault="00027D3D" w:rsidP="00027D3D">
      <w:pPr>
        <w:pStyle w:val="PI-3EMEASMCA"/>
        <w:jc w:val="both"/>
        <w:rPr>
          <w:b/>
        </w:rPr>
      </w:pPr>
      <w:r>
        <w:rPr>
          <w:b/>
          <w:caps/>
        </w:rPr>
        <w:t>EFFERALGAN</w:t>
      </w:r>
      <w:r>
        <w:rPr>
          <w:b/>
        </w:rPr>
        <w:t xml:space="preserve"> sudėtyje yra sojų lecitino</w:t>
      </w:r>
    </w:p>
    <w:p w:rsidR="00027D3D" w:rsidRDefault="00027D3D" w:rsidP="00027D3D">
      <w:pPr>
        <w:pStyle w:val="PI-3EMEASMCA"/>
      </w:pPr>
      <w:r>
        <w:t>Jei esate alergiškas (alergiška) žemės riešutams arba sojai, Jums šio vaisto vartoti negalima (žr. poskyrį „</w:t>
      </w:r>
      <w:r>
        <w:rPr>
          <w:caps/>
        </w:rPr>
        <w:t>EFFERALGAN</w:t>
      </w:r>
      <w:r>
        <w:t xml:space="preserve"> vartoti negalima“).</w:t>
      </w:r>
    </w:p>
    <w:p w:rsidR="00027D3D" w:rsidRDefault="00027D3D" w:rsidP="00027D3D">
      <w:pPr>
        <w:keepNext/>
        <w:keepLines/>
        <w:tabs>
          <w:tab w:val="left" w:pos="720"/>
        </w:tabs>
        <w:spacing w:line="240" w:lineRule="auto"/>
        <w:ind w:left="567" w:hanging="567"/>
        <w:outlineLvl w:val="0"/>
        <w:rPr>
          <w:rFonts w:eastAsia="Times New Roman"/>
          <w:b/>
          <w:caps/>
          <w:lang w:val="lt-LT"/>
        </w:rPr>
      </w:pPr>
    </w:p>
    <w:p w:rsidR="00027D3D" w:rsidRDefault="00027D3D" w:rsidP="00027D3D">
      <w:pPr>
        <w:keepNext/>
        <w:keepLines/>
        <w:tabs>
          <w:tab w:val="left" w:pos="720"/>
        </w:tabs>
        <w:spacing w:line="240" w:lineRule="auto"/>
        <w:ind w:left="567" w:hanging="567"/>
        <w:outlineLvl w:val="0"/>
        <w:rPr>
          <w:rFonts w:eastAsia="Times New Roman"/>
          <w:b/>
          <w:caps/>
          <w:lang w:val="lt-LT"/>
        </w:rPr>
      </w:pPr>
      <w:r>
        <w:rPr>
          <w:rFonts w:eastAsia="Times New Roman"/>
          <w:b/>
          <w:caps/>
          <w:lang w:val="lt-LT"/>
        </w:rPr>
        <w:t>3.</w:t>
      </w:r>
      <w:r>
        <w:rPr>
          <w:rFonts w:eastAsia="Times New Roman"/>
          <w:b/>
          <w:caps/>
          <w:lang w:val="lt-LT"/>
        </w:rPr>
        <w:tab/>
      </w:r>
      <w:r>
        <w:rPr>
          <w:rFonts w:eastAsia="Times New Roman"/>
          <w:b/>
          <w:lang w:val="lt-LT"/>
        </w:rPr>
        <w:t xml:space="preserve">Kaip vartoti </w:t>
      </w:r>
      <w:r>
        <w:rPr>
          <w:rFonts w:eastAsia="Times New Roman"/>
          <w:b/>
          <w:caps/>
          <w:lang w:val="lt-LT"/>
        </w:rPr>
        <w:t>EFFERALGAN</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Vartoti į tiesiąją žarną.</w:t>
      </w:r>
    </w:p>
    <w:p w:rsidR="00027D3D" w:rsidRDefault="00027D3D" w:rsidP="00027D3D">
      <w:pPr>
        <w:tabs>
          <w:tab w:val="left" w:pos="720"/>
        </w:tabs>
        <w:spacing w:line="240" w:lineRule="auto"/>
        <w:rPr>
          <w:rFonts w:eastAsia="Times New Roman"/>
          <w:b/>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Dozavimas</w:t>
      </w:r>
    </w:p>
    <w:p w:rsidR="00027D3D" w:rsidRDefault="00027D3D" w:rsidP="00027D3D">
      <w:pPr>
        <w:tabs>
          <w:tab w:val="left" w:pos="720"/>
        </w:tabs>
        <w:spacing w:line="240" w:lineRule="auto"/>
        <w:rPr>
          <w:rFonts w:eastAsia="Times New Roman"/>
          <w:lang w:val="lt-LT"/>
        </w:rPr>
      </w:pPr>
      <w:r>
        <w:rPr>
          <w:rFonts w:eastAsia="Times New Roman"/>
          <w:lang w:val="lt-LT"/>
        </w:rPr>
        <w:t>Leidžiama maksimali paros dozė – 60 mg/kg. Ji padalijama į keturias vienkartines, t.y. vartojama maždaug po 15 mg/kg kas 6 val. Negalima vartoti dažniau kaip kas 6 val.</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Jei vaiko kūno svorio nežinote, pasverkite jį, kad galėtumėte parinkti tinkamiausią dozę. Paracetamolis gaminamas įvairių stiprumų, todėl kiekvienam vaikui galima parinkti tinkamą preparatą pagal svorį. Apytiksliai nurodytas amžius pagal vaiko svorį gali skirtis.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bCs/>
          <w:lang w:val="lt-LT"/>
        </w:rPr>
        <w:t>EFFERALGAN 80 mg žvakutės</w:t>
      </w:r>
      <w:r>
        <w:rPr>
          <w:rFonts w:eastAsia="Times New Roman"/>
          <w:lang w:val="lt-LT"/>
        </w:rPr>
        <w:t xml:space="preserve"> tinka tik nuo 5 iki &lt;10 kg</w:t>
      </w:r>
      <w:r>
        <w:rPr>
          <w:rFonts w:eastAsia="Times New Roman"/>
          <w:b/>
          <w:lang w:val="lt-LT"/>
        </w:rPr>
        <w:t xml:space="preserve"> </w:t>
      </w:r>
      <w:r>
        <w:rPr>
          <w:rFonts w:eastAsia="Times New Roman"/>
          <w:lang w:val="lt-LT"/>
        </w:rPr>
        <w:t>svorio (maždaug nuo 2 iki &lt;24 mėn.) kūdikiams. Vartojama viena 80 mg žvakutė, paros dozė yra 4 žvakutės.</w:t>
      </w:r>
    </w:p>
    <w:p w:rsidR="00027D3D" w:rsidRDefault="00027D3D" w:rsidP="00027D3D">
      <w:pPr>
        <w:tabs>
          <w:tab w:val="left" w:pos="720"/>
        </w:tabs>
        <w:spacing w:line="240" w:lineRule="auto"/>
        <w:rPr>
          <w:rFonts w:eastAsia="Times New Roman"/>
          <w:lang w:val="lt-LT"/>
        </w:rPr>
      </w:pPr>
      <w:r>
        <w:rPr>
          <w:rFonts w:eastAsia="Times New Roman"/>
          <w:bCs/>
          <w:lang w:val="lt-LT"/>
        </w:rPr>
        <w:t>EFFERALGAN 150 mg žvakutės</w:t>
      </w:r>
      <w:r>
        <w:rPr>
          <w:rFonts w:eastAsia="Times New Roman"/>
          <w:lang w:val="lt-LT"/>
        </w:rPr>
        <w:t xml:space="preserve"> tinka tik nuo 10 iki &lt;15 kg svorio (maždaug nuo 24 mėn. iki &lt;3 metų) mažiems vaikams. Vartojama viena 150 mg žvakutė, paros dozė yra 4 žvakutės.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Negalima viršyti maksimalios 60 mg/kg per parą dozės.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Prireikus ši vienkartinė dozė kartojama kas 6 val., tačiau negalima vartoti daugiau kaip 4 žvakučių per parą.</w:t>
      </w:r>
    </w:p>
    <w:p w:rsidR="00027D3D" w:rsidRDefault="00027D3D" w:rsidP="00027D3D">
      <w:pPr>
        <w:tabs>
          <w:tab w:val="left" w:pos="720"/>
        </w:tabs>
        <w:spacing w:line="240" w:lineRule="auto"/>
        <w:rPr>
          <w:rFonts w:eastAsia="Times New Roman"/>
          <w:lang w:val="lt-LT"/>
        </w:rPr>
      </w:pPr>
      <w:r>
        <w:rPr>
          <w:rFonts w:eastAsia="Times New Roman"/>
          <w:lang w:val="lt-LT"/>
        </w:rPr>
        <w:t>Žvakutės gali sukelti tiesiosios žarnos suerzinimą, todėl jas reikia vartoti kiek galima trumpiau (ne ilgiau kaip 3 dienas). Kai tik įmanoma, jos keičiamos geriamąja vaisto forma.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
          <w:lang w:val="lt-LT"/>
        </w:rPr>
      </w:pPr>
      <w:r>
        <w:rPr>
          <w:rFonts w:eastAsia="Times New Roman"/>
          <w:i/>
          <w:lang w:val="lt-LT"/>
        </w:rPr>
        <w:t>Inkstų funkcijos sutrikimas</w:t>
      </w:r>
    </w:p>
    <w:p w:rsidR="00027D3D" w:rsidRDefault="00027D3D" w:rsidP="00027D3D">
      <w:pPr>
        <w:tabs>
          <w:tab w:val="left" w:pos="720"/>
        </w:tabs>
        <w:spacing w:line="240" w:lineRule="auto"/>
        <w:rPr>
          <w:rFonts w:eastAsia="Times New Roman"/>
          <w:lang w:val="lt-LT"/>
        </w:rPr>
      </w:pPr>
      <w:r>
        <w:rPr>
          <w:rFonts w:eastAsia="Times New Roman"/>
          <w:lang w:val="lt-LT"/>
        </w:rPr>
        <w:t>Jei vaikas serga sunkiu inkstų funkcijos sutrikimu, šį vaistą jam galima vartoti ne dažniau kaip kas 6 arba 8 val.</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i/>
          <w:lang w:val="lt-LT"/>
        </w:rPr>
      </w:pPr>
      <w:r>
        <w:rPr>
          <w:rFonts w:eastAsia="Times New Roman"/>
          <w:i/>
          <w:lang w:val="lt-LT"/>
        </w:rPr>
        <w:t>Kepenų funkcijos sutrikimas</w:t>
      </w:r>
    </w:p>
    <w:p w:rsidR="00027D3D" w:rsidRDefault="00027D3D" w:rsidP="00027D3D">
      <w:pPr>
        <w:keepNext/>
        <w:keepLines/>
        <w:tabs>
          <w:tab w:val="left" w:pos="720"/>
        </w:tabs>
        <w:spacing w:line="240" w:lineRule="auto"/>
        <w:ind w:left="567" w:hanging="567"/>
        <w:outlineLvl w:val="1"/>
        <w:rPr>
          <w:rFonts w:eastAsia="Times New Roman"/>
          <w:lang w:val="lt-LT"/>
        </w:rPr>
      </w:pPr>
      <w:r>
        <w:rPr>
          <w:rFonts w:eastAsia="Times New Roman"/>
          <w:lang w:val="lt-LT"/>
        </w:rPr>
        <w:t>Jei sergama kepenų liga, dozę turi nustatyti gydytojas.</w:t>
      </w:r>
    </w:p>
    <w:p w:rsidR="00027D3D" w:rsidRDefault="00027D3D" w:rsidP="00027D3D">
      <w:pPr>
        <w:keepNext/>
        <w:keepLines/>
        <w:tabs>
          <w:tab w:val="left" w:pos="720"/>
        </w:tabs>
        <w:spacing w:line="240" w:lineRule="auto"/>
        <w:ind w:left="567" w:hanging="567"/>
        <w:outlineLvl w:val="1"/>
        <w:rPr>
          <w:rFonts w:eastAsia="Times New Roman"/>
          <w:b/>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Ką daryti pavartojus per didelę EFFERALGAN dozę</w:t>
      </w:r>
    </w:p>
    <w:p w:rsidR="00027D3D" w:rsidRDefault="00027D3D" w:rsidP="00027D3D">
      <w:pPr>
        <w:tabs>
          <w:tab w:val="left" w:pos="720"/>
        </w:tabs>
        <w:spacing w:line="240" w:lineRule="auto"/>
        <w:rPr>
          <w:rFonts w:eastAsia="Times New Roman"/>
          <w:lang w:val="lt-LT"/>
        </w:rPr>
      </w:pPr>
      <w:r>
        <w:rPr>
          <w:rFonts w:eastAsia="Times New Roman"/>
          <w:lang w:val="lt-LT"/>
        </w:rPr>
        <w:t>Perdozavus (netyčia pavartojus per didelę dozę), būtina nedelsiant pasikonsultuoti su gydytoju arba kviesti greitąją pagalbą.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Ankstyvieji (pasireiškiantys pirmą dieną) perdozavimo simptomai gali būti pykinimas, vėmimas, apetito stoka, prakaitavimas, blyškumas ir bendras negalavimas. Net jeigu kitą dieną simptomai palengvėja, vėliau gali pasireikšti negrįžtamas kepenų pažeidimas.</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Pamiršus pavartoti EFFERALGAN</w:t>
      </w:r>
    </w:p>
    <w:p w:rsidR="00027D3D" w:rsidRDefault="00027D3D" w:rsidP="00027D3D">
      <w:pPr>
        <w:tabs>
          <w:tab w:val="left" w:pos="720"/>
        </w:tabs>
        <w:spacing w:line="240" w:lineRule="auto"/>
        <w:rPr>
          <w:rFonts w:eastAsia="Times New Roman"/>
          <w:lang w:val="lt-LT"/>
        </w:rPr>
      </w:pPr>
      <w:r>
        <w:rPr>
          <w:rFonts w:eastAsia="Times New Roman"/>
          <w:lang w:val="lt-LT"/>
        </w:rPr>
        <w:t>Negalima vartoti dvigubos dozės norint kompensuoti praleistą dozę.</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Jeigu kiltų daugiau klausimų dėl šio vaisto vartojimo, kreipkitės į gydytoją arba vaistininką.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0"/>
        <w:rPr>
          <w:rFonts w:eastAsia="Times New Roman"/>
          <w:b/>
          <w:caps/>
          <w:lang w:val="lt-LT"/>
        </w:rPr>
      </w:pPr>
      <w:r>
        <w:rPr>
          <w:rFonts w:eastAsia="Times New Roman"/>
          <w:b/>
          <w:caps/>
          <w:lang w:val="lt-LT"/>
        </w:rPr>
        <w:t>4.</w:t>
      </w:r>
      <w:r>
        <w:rPr>
          <w:rFonts w:eastAsia="Times New Roman"/>
          <w:b/>
          <w:caps/>
          <w:lang w:val="lt-LT"/>
        </w:rPr>
        <w:tab/>
      </w:r>
      <w:r>
        <w:rPr>
          <w:rFonts w:eastAsia="Times New Roman"/>
          <w:b/>
          <w:lang w:val="lt-LT"/>
        </w:rPr>
        <w:t>Galimas šalutinis poveikis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Šis vaistas, kaip ir visi kiti, gali sukelti šalutinį poveikį, nors jis pasireiškia ne visiems žmonėms. Pranešimų apie žemiau aprašytą šalutinį poveikį gauta vaistui esant rinkoje.</w:t>
      </w:r>
    </w:p>
    <w:p w:rsidR="00027D3D" w:rsidRDefault="00027D3D" w:rsidP="00027D3D">
      <w:pPr>
        <w:numPr>
          <w:ilvl w:val="0"/>
          <w:numId w:val="3"/>
        </w:numPr>
        <w:tabs>
          <w:tab w:val="left" w:pos="720"/>
        </w:tabs>
        <w:snapToGrid w:val="0"/>
        <w:spacing w:after="0" w:line="240" w:lineRule="auto"/>
        <w:jc w:val="both"/>
        <w:rPr>
          <w:rFonts w:eastAsia="Times New Roman"/>
          <w:lang w:val="lt-LT"/>
        </w:rPr>
      </w:pPr>
      <w:r>
        <w:rPr>
          <w:rFonts w:eastAsia="Times New Roman"/>
          <w:lang w:val="lt-LT"/>
        </w:rPr>
        <w:t>Viduriavimas ir pilvo skausmas.</w:t>
      </w:r>
    </w:p>
    <w:p w:rsidR="00027D3D" w:rsidRDefault="00027D3D" w:rsidP="00027D3D">
      <w:pPr>
        <w:numPr>
          <w:ilvl w:val="0"/>
          <w:numId w:val="3"/>
        </w:numPr>
        <w:tabs>
          <w:tab w:val="left" w:pos="720"/>
        </w:tabs>
        <w:snapToGrid w:val="0"/>
        <w:spacing w:after="0" w:line="240" w:lineRule="auto"/>
        <w:jc w:val="both"/>
        <w:rPr>
          <w:rFonts w:eastAsia="Times New Roman"/>
          <w:lang w:val="lt-LT"/>
        </w:rPr>
      </w:pPr>
      <w:r>
        <w:rPr>
          <w:rFonts w:eastAsia="Times New Roman"/>
          <w:lang w:val="lt-LT"/>
        </w:rPr>
        <w:t>Padidėjęs ar sumažėjęs kraujo krešėjimo rodiklis (tarptautinis normalizuotas santykis).</w:t>
      </w:r>
    </w:p>
    <w:p w:rsidR="00027D3D" w:rsidRDefault="00027D3D" w:rsidP="00027D3D">
      <w:pPr>
        <w:numPr>
          <w:ilvl w:val="0"/>
          <w:numId w:val="3"/>
        </w:numPr>
        <w:tabs>
          <w:tab w:val="left" w:pos="720"/>
        </w:tabs>
        <w:snapToGrid w:val="0"/>
        <w:spacing w:after="0" w:line="240" w:lineRule="auto"/>
        <w:jc w:val="both"/>
        <w:rPr>
          <w:rFonts w:eastAsia="Times New Roman"/>
          <w:lang w:val="lt-LT"/>
        </w:rPr>
      </w:pPr>
      <w:r>
        <w:rPr>
          <w:rFonts w:eastAsia="Times New Roman"/>
          <w:lang w:val="lt-LT"/>
        </w:rPr>
        <w:t>Kepenų nepakankamumas, kepenų ląstelių žūtis, kepenų uždegimas (vienas iš galimų požymių yra gelta).</w:t>
      </w:r>
    </w:p>
    <w:p w:rsidR="00027D3D" w:rsidRDefault="00027D3D" w:rsidP="00027D3D">
      <w:pPr>
        <w:numPr>
          <w:ilvl w:val="0"/>
          <w:numId w:val="3"/>
        </w:numPr>
        <w:tabs>
          <w:tab w:val="left" w:pos="720"/>
        </w:tabs>
        <w:snapToGrid w:val="0"/>
        <w:spacing w:after="0" w:line="240" w:lineRule="auto"/>
        <w:jc w:val="both"/>
        <w:rPr>
          <w:rFonts w:eastAsia="Times New Roman"/>
          <w:lang w:val="lt-LT"/>
        </w:rPr>
      </w:pPr>
      <w:r>
        <w:rPr>
          <w:rFonts w:eastAsia="Times New Roman"/>
          <w:lang w:val="lt-LT"/>
        </w:rPr>
        <w:t>Padidėjusi kepenų fermentų (transaminazių) koncentracija.</w:t>
      </w:r>
    </w:p>
    <w:p w:rsidR="00027D3D" w:rsidRDefault="00027D3D" w:rsidP="00027D3D">
      <w:pPr>
        <w:tabs>
          <w:tab w:val="left" w:pos="720"/>
        </w:tabs>
        <w:spacing w:line="240" w:lineRule="auto"/>
        <w:jc w:val="both"/>
        <w:rPr>
          <w:rFonts w:eastAsia="Times New Roman"/>
          <w:lang w:val="lt-LT"/>
        </w:rPr>
      </w:pPr>
      <w:r>
        <w:rPr>
          <w:rFonts w:eastAsia="Times New Roman"/>
          <w:lang w:val="lt-LT"/>
        </w:rPr>
        <w:t>Paprastai šie pokyčiai būna lengvi, laikini ir dėl jų šio vaisto vartojimo nutraukti nereikia.</w:t>
      </w:r>
    </w:p>
    <w:p w:rsidR="00027D3D" w:rsidRDefault="00027D3D" w:rsidP="00027D3D">
      <w:pPr>
        <w:tabs>
          <w:tab w:val="left" w:pos="720"/>
        </w:tabs>
        <w:spacing w:line="240" w:lineRule="auto"/>
        <w:jc w:val="both"/>
        <w:rPr>
          <w:rFonts w:eastAsia="Times New Roman"/>
          <w:lang w:val="lt-LT"/>
        </w:rPr>
      </w:pPr>
      <w:r>
        <w:rPr>
          <w:rFonts w:eastAsia="Times New Roman"/>
          <w:lang w:val="lt-LT"/>
        </w:rPr>
        <w:t>Labai retais atvejais gali išsivystyti inkstų pažeidimas.</w:t>
      </w:r>
    </w:p>
    <w:p w:rsidR="00027D3D" w:rsidRDefault="00027D3D" w:rsidP="00027D3D">
      <w:pPr>
        <w:numPr>
          <w:ilvl w:val="0"/>
          <w:numId w:val="3"/>
        </w:numPr>
        <w:tabs>
          <w:tab w:val="left" w:pos="720"/>
        </w:tabs>
        <w:snapToGrid w:val="0"/>
        <w:spacing w:after="0" w:line="240" w:lineRule="auto"/>
        <w:rPr>
          <w:rFonts w:eastAsia="Times New Roman"/>
          <w:lang w:val="lt-LT"/>
        </w:rPr>
      </w:pPr>
      <w:r>
        <w:rPr>
          <w:rFonts w:eastAsia="Times New Roman"/>
          <w:lang w:val="lt-LT"/>
        </w:rPr>
        <w:t xml:space="preserve">Buvo atvejų, kai vartojant paracetamolį išbėrė odą (dilgėlinė, raudonė), atsirado niežėjimas, išsivystė sunkios generalizuotos odos reakcijos (ūmi generalizuota egzanteminė pustuliozė, toksinė epidermio nekrolizė, </w:t>
      </w:r>
      <w:r>
        <w:rPr>
          <w:rFonts w:eastAsia="Times New Roman"/>
          <w:i/>
          <w:lang w:val="lt-LT"/>
        </w:rPr>
        <w:t>Stevens-Johnson</w:t>
      </w:r>
      <w:r>
        <w:rPr>
          <w:rFonts w:eastAsia="Times New Roman"/>
          <w:lang w:val="lt-LT"/>
        </w:rPr>
        <w:t xml:space="preserve"> sindromas), pasireiškė alerginių reakcijų, pvz., angioedema ar anafilaksinis šokas (anafilaksija ir ryškus kraujospūdžio sumažėjimas).</w:t>
      </w:r>
    </w:p>
    <w:p w:rsidR="00027D3D" w:rsidRDefault="00027D3D" w:rsidP="00027D3D">
      <w:pPr>
        <w:numPr>
          <w:ilvl w:val="0"/>
          <w:numId w:val="3"/>
        </w:numPr>
        <w:tabs>
          <w:tab w:val="left" w:pos="720"/>
        </w:tabs>
        <w:snapToGrid w:val="0"/>
        <w:spacing w:after="0" w:line="240" w:lineRule="auto"/>
        <w:rPr>
          <w:rFonts w:eastAsia="Times New Roman"/>
          <w:lang w:val="lt-LT"/>
        </w:rPr>
      </w:pPr>
      <w:r>
        <w:rPr>
          <w:rFonts w:eastAsia="Times New Roman"/>
          <w:lang w:val="lt-LT"/>
        </w:rPr>
        <w:t>Buvo atvejų, kai vartojant paracetamolį nenormaliai sumažėjo kai kurių kraujo ląstelių (trombocitopenija, leukopenija, neutropenija). Sumažėjus trombocitų, gali kraujuoti iš nosies ar dantenų, o sumažėjus leukocitų gali vėl prasidėti karščiavimas ar infekcija.</w:t>
      </w:r>
    </w:p>
    <w:p w:rsidR="00027D3D" w:rsidRDefault="00027D3D" w:rsidP="00027D3D">
      <w:pPr>
        <w:tabs>
          <w:tab w:val="left" w:pos="720"/>
        </w:tabs>
        <w:spacing w:line="240" w:lineRule="auto"/>
        <w:jc w:val="both"/>
        <w:rPr>
          <w:rFonts w:eastAsia="Times New Roman"/>
          <w:lang w:val="lt-LT"/>
        </w:rPr>
      </w:pPr>
      <w:r>
        <w:rPr>
          <w:rFonts w:eastAsia="Times New Roman"/>
          <w:lang w:val="lt-LT"/>
        </w:rPr>
        <w:t>Jeigu taip atsitiktų, reikia nedelsiant nutraukti šio vaisto vartojimą ir kreiptis į gydytoją.</w:t>
      </w:r>
    </w:p>
    <w:p w:rsidR="00027D3D" w:rsidRDefault="00027D3D" w:rsidP="00027D3D">
      <w:pPr>
        <w:tabs>
          <w:tab w:val="left" w:pos="720"/>
        </w:tabs>
        <w:spacing w:line="240" w:lineRule="auto"/>
        <w:jc w:val="both"/>
        <w:rPr>
          <w:rFonts w:eastAsia="Times New Roman"/>
          <w:lang w:val="lt-LT"/>
        </w:rPr>
      </w:pPr>
    </w:p>
    <w:p w:rsidR="00027D3D" w:rsidRDefault="00027D3D" w:rsidP="00027D3D">
      <w:pPr>
        <w:tabs>
          <w:tab w:val="left" w:pos="720"/>
        </w:tabs>
        <w:spacing w:line="240" w:lineRule="auto"/>
        <w:jc w:val="both"/>
        <w:rPr>
          <w:rFonts w:eastAsia="Times New Roman"/>
          <w:lang w:val="lt-LT"/>
        </w:rPr>
      </w:pPr>
      <w:r>
        <w:rPr>
          <w:rFonts w:eastAsia="Times New Roman"/>
          <w:lang w:val="lt-LT"/>
        </w:rPr>
        <w:t>Žvakutės gali sukelti tiesiosios žarnos ar analinės srities suerzinimą.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b/>
          <w:lang w:val="lt-LT"/>
        </w:rPr>
      </w:pPr>
      <w:r>
        <w:rPr>
          <w:rFonts w:eastAsia="Times New Roman"/>
          <w:b/>
          <w:lang w:val="lt-LT"/>
        </w:rPr>
        <w:t>Pranešimas apie šalutinį poveikį</w:t>
      </w:r>
    </w:p>
    <w:p w:rsidR="00027D3D" w:rsidRDefault="00027D3D" w:rsidP="00027D3D">
      <w:pPr>
        <w:numPr>
          <w:ilvl w:val="12"/>
          <w:numId w:val="0"/>
        </w:numPr>
        <w:tabs>
          <w:tab w:val="left" w:pos="720"/>
        </w:tabs>
        <w:spacing w:line="240" w:lineRule="auto"/>
        <w:ind w:right="-2"/>
        <w:rPr>
          <w:rFonts w:eastAsia="Times New Roman"/>
          <w:lang w:val="lt-LT"/>
        </w:rPr>
      </w:pPr>
      <w:r>
        <w:rPr>
          <w:rFonts w:eastAsia="Times New Roman"/>
          <w:lang w:val="lt-LT"/>
        </w:rPr>
        <w:t>Jeigu pasireiškė šalutinis poveikis, įskaitant šiame lapelyje nenurodytą, pasakykite gydytojui arba vaistininkui. Apie šalutinį poveikį taip pat galite pranešti Valstybinei vaistų kontrolės tarnybai prie Lietuvos Respublikos sveikatos apsaugos ministerijos nemokamu t</w:t>
      </w:r>
      <w:r>
        <w:rPr>
          <w:rFonts w:eastAsia="Times New Roman"/>
          <w:lang w:val="lt-LT" w:eastAsia="zh-CN"/>
        </w:rPr>
        <w:t>elefonu 8 800 73568</w:t>
      </w:r>
      <w:r>
        <w:rPr>
          <w:rFonts w:eastAsia="Times New Roman"/>
          <w:lang w:val="lt-LT"/>
        </w:rPr>
        <w:t xml:space="preserve"> arba užpildyti interneto svetainėje </w:t>
      </w:r>
      <w:hyperlink r:id="rId5" w:history="1">
        <w:r>
          <w:rPr>
            <w:rStyle w:val="Hyperlink"/>
            <w:rFonts w:eastAsia="SimSun"/>
            <w:color w:val="0000FF"/>
            <w:lang w:val="lt-LT"/>
          </w:rPr>
          <w:t>www.vvkt.lt</w:t>
        </w:r>
      </w:hyperlink>
      <w:r>
        <w:rPr>
          <w:rFonts w:eastAsia="Times New Roman"/>
          <w:lang w:val="lt-LT"/>
        </w:rPr>
        <w:t xml:space="preserve"> esančią formą ir pateikti ją Valstybinei vaistų kontrolės tarnybai prie Lietuvos Respublikos sveikatos apsaugos ministerijos vienu iš šių būdų: raštu (adresu Žirmūnų g. 139A, LT-09120 Vilnius), </w:t>
      </w:r>
      <w:r>
        <w:rPr>
          <w:rFonts w:eastAsia="Times New Roman"/>
          <w:lang w:val="lt-LT" w:eastAsia="zh-CN"/>
        </w:rPr>
        <w:t xml:space="preserve">nemokamu </w:t>
      </w:r>
      <w:r>
        <w:rPr>
          <w:rFonts w:eastAsia="Times New Roman"/>
          <w:lang w:val="lt-LT"/>
        </w:rPr>
        <w:t>fakso numeriu 8 800 20131</w:t>
      </w:r>
      <w:r>
        <w:rPr>
          <w:rFonts w:eastAsia="Times New Roman"/>
          <w:lang w:val="lt-LT" w:eastAsia="zh-CN"/>
        </w:rPr>
        <w:t xml:space="preserve">, </w:t>
      </w:r>
      <w:r>
        <w:rPr>
          <w:rFonts w:eastAsia="Times New Roman"/>
          <w:lang w:val="lt-LT"/>
        </w:rPr>
        <w:t xml:space="preserve">el. paštu </w:t>
      </w:r>
      <w:hyperlink r:id="rId6" w:history="1">
        <w:r>
          <w:rPr>
            <w:rStyle w:val="Hyperlink"/>
            <w:rFonts w:eastAsia="SimSun"/>
            <w:color w:val="0000FF"/>
            <w:lang w:val="lt-LT"/>
          </w:rPr>
          <w:t>NepageidaujamaR@vvkt.lt</w:t>
        </w:r>
      </w:hyperlink>
      <w:r>
        <w:rPr>
          <w:rFonts w:eastAsia="Times New Roman"/>
          <w:lang w:val="lt-LT"/>
        </w:rPr>
        <w:t xml:space="preserve">, taip pat per Valstybinės vaistų kontrolės tarnybos prie Lietuvos Respublikos sveikatos apsaugos ministerijos interneto svetainę (adresu </w:t>
      </w:r>
      <w:hyperlink r:id="rId7" w:history="1">
        <w:r>
          <w:rPr>
            <w:rStyle w:val="Hyperlink"/>
            <w:rFonts w:eastAsia="SimSun"/>
            <w:color w:val="0000FF"/>
            <w:lang w:val="lt-LT"/>
          </w:rPr>
          <w:t>http://www.vvkt.lt</w:t>
        </w:r>
      </w:hyperlink>
      <w:r>
        <w:rPr>
          <w:rFonts w:eastAsia="Times New Roman"/>
          <w:lang w:val="lt-LT"/>
        </w:rPr>
        <w:t>). Pranešdami apie šalutinį poveikį galite mums padėti gauti daugiau informacijos apie šio vaisto saugumą.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p>
    <w:p w:rsidR="00027D3D" w:rsidRDefault="00027D3D" w:rsidP="00027D3D">
      <w:pPr>
        <w:keepNext/>
        <w:spacing w:line="240" w:lineRule="auto"/>
        <w:ind w:left="567" w:hanging="567"/>
        <w:outlineLvl w:val="1"/>
        <w:rPr>
          <w:rFonts w:eastAsia="Times New Roman"/>
          <w:b/>
          <w:lang w:val="lt-LT"/>
        </w:rPr>
      </w:pPr>
      <w:bookmarkStart w:id="4" w:name="_Toc129243268"/>
      <w:bookmarkStart w:id="5" w:name="_Toc129243143"/>
      <w:r>
        <w:rPr>
          <w:rFonts w:eastAsia="Times New Roman"/>
          <w:b/>
          <w:lang w:val="lt-LT"/>
        </w:rPr>
        <w:t>5.</w:t>
      </w:r>
      <w:r>
        <w:rPr>
          <w:rFonts w:eastAsia="Times New Roman"/>
          <w:b/>
          <w:lang w:val="lt-LT"/>
        </w:rPr>
        <w:tab/>
        <w:t xml:space="preserve">Kaip laikyti </w:t>
      </w:r>
      <w:bookmarkEnd w:id="4"/>
      <w:bookmarkEnd w:id="5"/>
      <w:r>
        <w:rPr>
          <w:rFonts w:eastAsia="Times New Roman"/>
          <w:b/>
          <w:lang w:val="lt-LT"/>
        </w:rPr>
        <w:t>EFFERALGAN</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outlineLvl w:val="0"/>
        <w:rPr>
          <w:rFonts w:eastAsia="Times New Roman"/>
          <w:lang w:val="lt-LT"/>
        </w:rPr>
      </w:pPr>
      <w:r>
        <w:rPr>
          <w:rFonts w:eastAsia="Times New Roman"/>
          <w:lang w:val="lt-LT"/>
        </w:rPr>
        <w:t>Šį vaistą laikykite vaikams nepastebimoje ir nepasiekiamoje vietoje.</w:t>
      </w:r>
    </w:p>
    <w:p w:rsidR="00027D3D" w:rsidRDefault="00027D3D" w:rsidP="00027D3D">
      <w:pPr>
        <w:tabs>
          <w:tab w:val="left" w:pos="720"/>
        </w:tabs>
        <w:spacing w:line="240" w:lineRule="auto"/>
        <w:rPr>
          <w:rFonts w:eastAsia="Times New Roman"/>
          <w:lang w:val="lt-LT"/>
        </w:rPr>
      </w:pPr>
      <w:r>
        <w:rPr>
          <w:rFonts w:eastAsia="Times New Roman"/>
          <w:lang w:val="lt-LT"/>
        </w:rPr>
        <w:t xml:space="preserve">Laikyti ne aukštesnėje kaip 30 </w:t>
      </w:r>
      <w:r>
        <w:rPr>
          <w:rFonts w:eastAsia="Times New Roman"/>
          <w:lang w:val="lt-LT"/>
        </w:rPr>
        <w:sym w:font="Symbol" w:char="F0B0"/>
      </w:r>
      <w:r>
        <w:rPr>
          <w:rFonts w:eastAsia="Times New Roman"/>
          <w:lang w:val="lt-LT"/>
        </w:rPr>
        <w:t>C temperatūroje.</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Ant dėžutės po „Tinka iki“ ar dvisluoksnės juostelės nurodytam tinkamumo laikui pasibaigus, šio vaisto vartoti negalima. Vaistas tinkamas vartoti iki paskutinės nurodyto mėnesio dienos.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Vaistų negalima išmesti į kanalizaciją arba su buitinėmis atliekomis. Kaip išmesti nereikalingus vaistus, klauskite vaistininko. Šios priemonės padės apsaugoti aplinką.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0"/>
        <w:rPr>
          <w:rFonts w:eastAsia="Times New Roman"/>
          <w:b/>
          <w:caps/>
          <w:lang w:val="lt-LT"/>
        </w:rPr>
      </w:pPr>
      <w:r>
        <w:rPr>
          <w:rFonts w:eastAsia="Times New Roman"/>
          <w:b/>
          <w:caps/>
          <w:lang w:val="lt-LT"/>
        </w:rPr>
        <w:t>6.</w:t>
      </w:r>
      <w:r>
        <w:rPr>
          <w:rFonts w:eastAsia="Times New Roman"/>
          <w:b/>
          <w:caps/>
          <w:lang w:val="lt-LT"/>
        </w:rPr>
        <w:tab/>
      </w:r>
      <w:r>
        <w:rPr>
          <w:rFonts w:eastAsia="Times New Roman"/>
          <w:b/>
          <w:lang w:val="lt-LT"/>
        </w:rPr>
        <w:t>Pakuotės turinys ir kita informacija</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EFFERALGAN sudėtis</w:t>
      </w:r>
    </w:p>
    <w:p w:rsidR="00027D3D" w:rsidRDefault="00027D3D" w:rsidP="00027D3D">
      <w:pPr>
        <w:tabs>
          <w:tab w:val="left" w:pos="720"/>
        </w:tabs>
        <w:spacing w:line="240" w:lineRule="auto"/>
        <w:rPr>
          <w:rFonts w:eastAsia="Times New Roman"/>
          <w:lang w:val="lt-LT"/>
        </w:rPr>
      </w:pPr>
    </w:p>
    <w:p w:rsidR="00027D3D" w:rsidRDefault="00027D3D" w:rsidP="00027D3D">
      <w:pPr>
        <w:numPr>
          <w:ilvl w:val="0"/>
          <w:numId w:val="2"/>
        </w:numPr>
        <w:tabs>
          <w:tab w:val="num" w:pos="567"/>
        </w:tabs>
        <w:snapToGrid w:val="0"/>
        <w:spacing w:after="0" w:line="240" w:lineRule="auto"/>
        <w:ind w:left="567" w:hanging="567"/>
        <w:rPr>
          <w:rFonts w:eastAsia="Times New Roman"/>
          <w:lang w:val="lt-LT"/>
        </w:rPr>
      </w:pPr>
      <w:r>
        <w:rPr>
          <w:rFonts w:eastAsia="Times New Roman"/>
          <w:lang w:val="lt-LT"/>
        </w:rPr>
        <w:t>Veiklioji medžiaga yra paracetamolis. Vienoje žvakutėje yra atitinkamai 80 mg arba 150 mg paracetamolio.</w:t>
      </w:r>
    </w:p>
    <w:p w:rsidR="00027D3D" w:rsidRDefault="00027D3D" w:rsidP="00027D3D">
      <w:pPr>
        <w:numPr>
          <w:ilvl w:val="0"/>
          <w:numId w:val="2"/>
        </w:numPr>
        <w:tabs>
          <w:tab w:val="num" w:pos="567"/>
        </w:tabs>
        <w:snapToGrid w:val="0"/>
        <w:spacing w:after="0" w:line="240" w:lineRule="auto"/>
        <w:ind w:left="567" w:hanging="567"/>
        <w:rPr>
          <w:rFonts w:eastAsia="Times New Roman"/>
          <w:lang w:val="lt-LT"/>
        </w:rPr>
      </w:pPr>
      <w:r>
        <w:rPr>
          <w:rFonts w:eastAsia="Times New Roman"/>
          <w:lang w:val="lt-LT"/>
        </w:rPr>
        <w:t>Pagalbinė medžiaga yra kietieji riebalai, su priedais (sudėtyje yra sojų lecitino).</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outlineLvl w:val="1"/>
        <w:rPr>
          <w:rFonts w:eastAsia="Times New Roman"/>
          <w:b/>
          <w:lang w:val="lt-LT"/>
        </w:rPr>
      </w:pPr>
      <w:r>
        <w:rPr>
          <w:rFonts w:eastAsia="Times New Roman"/>
          <w:b/>
          <w:lang w:val="lt-LT"/>
        </w:rPr>
        <w:t>EFFERALGAN išvaizda ir kiekis pakuotėje</w:t>
      </w:r>
    </w:p>
    <w:p w:rsidR="00027D3D" w:rsidRDefault="00027D3D" w:rsidP="00027D3D">
      <w:pPr>
        <w:tabs>
          <w:tab w:val="left" w:pos="720"/>
        </w:tabs>
        <w:spacing w:line="240" w:lineRule="auto"/>
        <w:rPr>
          <w:rFonts w:eastAsia="Times New Roman"/>
          <w:lang w:val="lt-LT"/>
        </w:rPr>
      </w:pPr>
      <w:r>
        <w:rPr>
          <w:rFonts w:eastAsia="Times New Roman"/>
          <w:lang w:val="lt-LT"/>
        </w:rPr>
        <w:t>Žvakutės yra baltos spalvos, glotnaus, blizgaus paviršiaus.</w:t>
      </w:r>
    </w:p>
    <w:p w:rsidR="00027D3D" w:rsidRDefault="00027D3D" w:rsidP="00027D3D">
      <w:pPr>
        <w:tabs>
          <w:tab w:val="left" w:pos="720"/>
        </w:tabs>
        <w:spacing w:line="240" w:lineRule="auto"/>
        <w:rPr>
          <w:rFonts w:eastAsia="Times New Roman"/>
          <w:lang w:val="lt-LT"/>
        </w:rPr>
      </w:pPr>
      <w:r>
        <w:rPr>
          <w:rFonts w:eastAsia="Times New Roman"/>
          <w:lang w:val="lt-LT"/>
        </w:rPr>
        <w:t>Dėžutėje yra 10 žvakučių (plastikinėje dvisluoksnėje juostelėje).</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Registruotojas ir gamintojas</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i/>
          <w:lang w:val="lt-LT"/>
        </w:rPr>
      </w:pPr>
      <w:r>
        <w:rPr>
          <w:rFonts w:eastAsia="Times New Roman"/>
          <w:i/>
          <w:lang w:val="lt-LT"/>
        </w:rPr>
        <w:t>Registruotojas</w:t>
      </w:r>
    </w:p>
    <w:p w:rsidR="00027D3D" w:rsidRDefault="00027D3D" w:rsidP="00027D3D">
      <w:r>
        <w:t>UPSA SAS</w:t>
      </w:r>
    </w:p>
    <w:p w:rsidR="00027D3D" w:rsidRDefault="00027D3D" w:rsidP="00027D3D">
      <w:r>
        <w:t>3, rue Joseph Monier</w:t>
      </w:r>
    </w:p>
    <w:p w:rsidR="00027D3D" w:rsidRDefault="00027D3D" w:rsidP="00027D3D">
      <w:r>
        <w:t>92500 Rueil-Malmaison</w:t>
      </w:r>
    </w:p>
    <w:p w:rsidR="00027D3D" w:rsidRDefault="00027D3D" w:rsidP="00027D3D">
      <w:pPr>
        <w:tabs>
          <w:tab w:val="left" w:pos="720"/>
        </w:tabs>
        <w:spacing w:line="240" w:lineRule="auto"/>
        <w:rPr>
          <w:rFonts w:eastAsia="Times New Roman"/>
          <w:lang w:val="lt-LT"/>
        </w:rPr>
      </w:pPr>
      <w:r>
        <w:t>Prancūzija</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i/>
          <w:lang w:val="lt-LT"/>
        </w:rPr>
      </w:pPr>
      <w:r>
        <w:rPr>
          <w:rFonts w:eastAsia="Times New Roman"/>
          <w:i/>
          <w:lang w:val="lt-LT"/>
        </w:rPr>
        <w:t>Gamintojas</w:t>
      </w:r>
    </w:p>
    <w:p w:rsidR="00027D3D" w:rsidRDefault="00027D3D" w:rsidP="00027D3D">
      <w:pPr>
        <w:tabs>
          <w:tab w:val="left" w:pos="720"/>
        </w:tabs>
        <w:spacing w:line="240" w:lineRule="auto"/>
        <w:rPr>
          <w:rFonts w:eastAsia="Times New Roman"/>
          <w:lang w:val="lt-LT"/>
        </w:rPr>
      </w:pPr>
      <w:r>
        <w:rPr>
          <w:rFonts w:eastAsia="Times New Roman"/>
          <w:lang w:val="lt-LT"/>
        </w:rPr>
        <w:t>UPSA SAS</w:t>
      </w:r>
    </w:p>
    <w:p w:rsidR="00027D3D" w:rsidRDefault="00027D3D" w:rsidP="00027D3D">
      <w:pPr>
        <w:tabs>
          <w:tab w:val="left" w:pos="720"/>
        </w:tabs>
        <w:spacing w:line="240" w:lineRule="auto"/>
        <w:rPr>
          <w:rFonts w:eastAsia="Times New Roman"/>
          <w:lang w:val="lt-LT"/>
        </w:rPr>
      </w:pPr>
      <w:r>
        <w:rPr>
          <w:rFonts w:eastAsia="Times New Roman"/>
          <w:lang w:val="lt-LT"/>
        </w:rPr>
        <w:t>304, avenue du Docteur Jean Bru</w:t>
      </w:r>
    </w:p>
    <w:p w:rsidR="00027D3D" w:rsidRDefault="00027D3D" w:rsidP="00027D3D">
      <w:pPr>
        <w:tabs>
          <w:tab w:val="left" w:pos="720"/>
        </w:tabs>
        <w:spacing w:line="240" w:lineRule="auto"/>
        <w:rPr>
          <w:rFonts w:eastAsia="Times New Roman"/>
          <w:lang w:val="lt-LT"/>
        </w:rPr>
      </w:pPr>
      <w:r>
        <w:rPr>
          <w:rFonts w:eastAsia="Times New Roman"/>
          <w:lang w:val="lt-LT"/>
        </w:rPr>
        <w:t>47000 Agen</w:t>
      </w:r>
    </w:p>
    <w:p w:rsidR="00027D3D" w:rsidRDefault="00027D3D" w:rsidP="00027D3D">
      <w:pPr>
        <w:tabs>
          <w:tab w:val="left" w:pos="720"/>
        </w:tabs>
        <w:spacing w:line="240" w:lineRule="auto"/>
        <w:rPr>
          <w:rFonts w:eastAsia="Times New Roman"/>
          <w:lang w:val="lt-LT"/>
        </w:rPr>
      </w:pPr>
      <w:r>
        <w:rPr>
          <w:rFonts w:eastAsia="Times New Roman"/>
          <w:lang w:val="lt-LT"/>
        </w:rPr>
        <w:t>Prancūzija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arba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UPSA SAS</w:t>
      </w:r>
    </w:p>
    <w:p w:rsidR="00027D3D" w:rsidRDefault="00027D3D" w:rsidP="00027D3D">
      <w:pPr>
        <w:tabs>
          <w:tab w:val="left" w:pos="720"/>
        </w:tabs>
        <w:spacing w:line="240" w:lineRule="auto"/>
        <w:rPr>
          <w:rFonts w:eastAsia="Times New Roman"/>
          <w:lang w:val="lt-LT"/>
        </w:rPr>
      </w:pPr>
      <w:r>
        <w:rPr>
          <w:rFonts w:eastAsia="Times New Roman"/>
          <w:lang w:val="lt-LT"/>
        </w:rPr>
        <w:t xml:space="preserve">979, avenue des </w:t>
      </w:r>
      <w:r>
        <w:rPr>
          <w:rFonts w:eastAsia="Times New Roman"/>
          <w:lang w:val="fr-FR"/>
        </w:rPr>
        <w:t>Pyrénées</w:t>
      </w:r>
    </w:p>
    <w:p w:rsidR="00027D3D" w:rsidRDefault="00027D3D" w:rsidP="00027D3D">
      <w:pPr>
        <w:tabs>
          <w:tab w:val="left" w:pos="720"/>
        </w:tabs>
        <w:spacing w:line="240" w:lineRule="auto"/>
        <w:rPr>
          <w:rFonts w:eastAsia="Times New Roman"/>
          <w:lang w:val="lt-LT"/>
        </w:rPr>
      </w:pPr>
      <w:r>
        <w:rPr>
          <w:rFonts w:eastAsia="Times New Roman"/>
          <w:lang w:val="lt-LT"/>
        </w:rPr>
        <w:t>47520 Le Passage</w:t>
      </w:r>
    </w:p>
    <w:p w:rsidR="00027D3D" w:rsidRDefault="00027D3D" w:rsidP="00027D3D">
      <w:pPr>
        <w:tabs>
          <w:tab w:val="left" w:pos="720"/>
        </w:tabs>
        <w:spacing w:line="240" w:lineRule="auto"/>
        <w:rPr>
          <w:rFonts w:eastAsia="Times New Roman"/>
          <w:lang w:val="lt-LT"/>
        </w:rPr>
      </w:pPr>
      <w:r>
        <w:rPr>
          <w:rFonts w:eastAsia="Times New Roman"/>
          <w:lang w:val="lt-LT"/>
        </w:rPr>
        <w:t>Prancūzija</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Jeigu apie šį vaistą norite sužinoti daugiau, kreipkitės į vietinį registruotojo atstovą.</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uppressAutoHyphens/>
        <w:spacing w:line="240" w:lineRule="auto"/>
        <w:rPr>
          <w:rFonts w:eastAsia="Times New Roman"/>
          <w:lang w:val="lt-LT" w:eastAsia="zh-CN"/>
        </w:rPr>
      </w:pPr>
      <w:r>
        <w:rPr>
          <w:rFonts w:eastAsia="Times New Roman"/>
          <w:lang w:val="lt-LT" w:eastAsia="zh-CN"/>
        </w:rPr>
        <w:t>UAB "Swixx Biopharma"</w:t>
      </w:r>
    </w:p>
    <w:p w:rsidR="00027D3D" w:rsidRDefault="00027D3D" w:rsidP="00027D3D">
      <w:pPr>
        <w:tabs>
          <w:tab w:val="left" w:pos="720"/>
        </w:tabs>
        <w:suppressAutoHyphens/>
        <w:spacing w:line="240" w:lineRule="auto"/>
        <w:rPr>
          <w:rFonts w:eastAsia="Times New Roman"/>
          <w:lang w:val="lt-LT" w:eastAsia="zh-CN"/>
        </w:rPr>
      </w:pPr>
      <w:r>
        <w:rPr>
          <w:rFonts w:eastAsia="Times New Roman"/>
          <w:lang w:val="lt-LT" w:eastAsia="zh-CN"/>
        </w:rPr>
        <w:t>Bokšto 1-3, Vilnius LT-01126, Lietuva</w:t>
      </w:r>
    </w:p>
    <w:p w:rsidR="00027D3D" w:rsidRDefault="00027D3D" w:rsidP="00027D3D">
      <w:pPr>
        <w:tabs>
          <w:tab w:val="left" w:pos="720"/>
        </w:tabs>
        <w:suppressAutoHyphens/>
        <w:spacing w:line="240" w:lineRule="auto"/>
        <w:jc w:val="both"/>
        <w:rPr>
          <w:rFonts w:eastAsia="Times New Roman"/>
          <w:b/>
          <w:color w:val="000000"/>
          <w:lang w:val="lt-LT" w:eastAsia="zh-CN"/>
        </w:rPr>
      </w:pPr>
      <w:r>
        <w:rPr>
          <w:rFonts w:eastAsia="Times New Roman"/>
          <w:lang w:val="lt-LT" w:eastAsia="zh-CN"/>
        </w:rPr>
        <w:t>Tel. +370 52 369140</w:t>
      </w:r>
    </w:p>
    <w:p w:rsidR="00027D3D" w:rsidRDefault="00027D3D" w:rsidP="00027D3D">
      <w:pPr>
        <w:tabs>
          <w:tab w:val="left" w:pos="720"/>
        </w:tabs>
        <w:spacing w:line="240" w:lineRule="auto"/>
        <w:rPr>
          <w:rFonts w:eastAsia="Times New Roman"/>
          <w:lang w:val="lt-LT"/>
        </w:rPr>
      </w:pPr>
    </w:p>
    <w:p w:rsidR="00027D3D" w:rsidRDefault="00027D3D" w:rsidP="00027D3D">
      <w:pPr>
        <w:keepNext/>
        <w:keepLines/>
        <w:tabs>
          <w:tab w:val="left" w:pos="720"/>
        </w:tabs>
        <w:spacing w:line="240" w:lineRule="auto"/>
        <w:ind w:left="567" w:hanging="567"/>
        <w:outlineLvl w:val="1"/>
        <w:rPr>
          <w:rFonts w:eastAsia="Times New Roman"/>
          <w:b/>
          <w:lang w:val="lt-LT"/>
        </w:rPr>
      </w:pPr>
      <w:r>
        <w:rPr>
          <w:rFonts w:eastAsia="Times New Roman"/>
          <w:b/>
          <w:lang w:val="lt-LT"/>
        </w:rPr>
        <w:t>Šis pakuotės lapelis paskutinį kartą peržiūrėtas 2020-12-17.</w:t>
      </w:r>
    </w:p>
    <w:p w:rsidR="00027D3D" w:rsidRDefault="00027D3D" w:rsidP="00027D3D">
      <w:pPr>
        <w:tabs>
          <w:tab w:val="left" w:pos="720"/>
        </w:tabs>
        <w:spacing w:line="240" w:lineRule="auto"/>
        <w:rPr>
          <w:rFonts w:eastAsia="Times New Roman"/>
          <w:lang w:val="lt-LT"/>
        </w:rPr>
      </w:pPr>
    </w:p>
    <w:p w:rsidR="00027D3D" w:rsidRDefault="00027D3D" w:rsidP="00027D3D">
      <w:pPr>
        <w:tabs>
          <w:tab w:val="left" w:pos="720"/>
        </w:tabs>
        <w:spacing w:line="240" w:lineRule="auto"/>
        <w:rPr>
          <w:rFonts w:eastAsia="Times New Roman"/>
          <w:lang w:val="lt-LT"/>
        </w:rPr>
      </w:pPr>
      <w:r>
        <w:rPr>
          <w:rFonts w:eastAsia="Times New Roman"/>
          <w:lang w:val="lt-LT"/>
        </w:rPr>
        <w:t xml:space="preserve">Išsami informacija apie šį vaistą pateikiama Valstybinės vaistų kontrolės tarnybos prie Lietuvos Respublikos sveikatos apsaugos ministerijos tinklalapyje </w:t>
      </w:r>
      <w:hyperlink r:id="rId8" w:history="1">
        <w:r>
          <w:rPr>
            <w:rStyle w:val="Hyperlink"/>
            <w:rFonts w:eastAsia="Times New Roman"/>
            <w:color w:val="0000FF"/>
            <w:lang w:val="lt-LT"/>
          </w:rPr>
          <w:t>http://www.vvkt.lt/</w:t>
        </w:r>
      </w:hyperlink>
      <w:r>
        <w:rPr>
          <w:rFonts w:eastAsia="Times New Roman"/>
          <w:color w:val="0000FF"/>
          <w:lang w:val="lt-LT"/>
        </w:rPr>
        <w:t>.</w:t>
      </w:r>
    </w:p>
    <w:p w:rsidR="00027D3D" w:rsidRDefault="00027D3D"/>
    <w:sectPr w:rsidR="00027D3D">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5E6184E"/>
    <w:multiLevelType w:val="hybridMultilevel"/>
    <w:tmpl w:val="22603752"/>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Times New Roman"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Times New Roman"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Times New Roman" w:hint="default"/>
      </w:rPr>
    </w:lvl>
    <w:lvl w:ilvl="8" w:tplc="04270005">
      <w:start w:val="1"/>
      <w:numFmt w:val="bullet"/>
      <w:lvlText w:val=""/>
      <w:lvlJc w:val="left"/>
      <w:pPr>
        <w:ind w:left="6480" w:hanging="360"/>
      </w:pPr>
      <w:rPr>
        <w:rFonts w:ascii="Wingdings" w:hAnsi="Wingdings" w:hint="default"/>
      </w:rPr>
    </w:lvl>
  </w:abstractNum>
  <w:abstractNum w:abstractNumId="1" w15:restartNumberingAfterBreak="0">
    <w:nsid w:val="68E6003A"/>
    <w:multiLevelType w:val="singleLevel"/>
    <w:tmpl w:val="B14AEF66"/>
    <w:lvl w:ilvl="0">
      <w:start w:val="4"/>
      <w:numFmt w:val="bullet"/>
      <w:lvlText w:val="-"/>
      <w:lvlJc w:val="left"/>
      <w:pPr>
        <w:tabs>
          <w:tab w:val="num" w:pos="720"/>
        </w:tabs>
        <w:ind w:left="720" w:hanging="720"/>
      </w:pPr>
    </w:lvl>
  </w:abstractNum>
  <w:abstractNum w:abstractNumId="2" w15:restartNumberingAfterBreak="0">
    <w:nsid w:val="6F086686"/>
    <w:multiLevelType w:val="hybridMultilevel"/>
    <w:tmpl w:val="BDB42508"/>
    <w:lvl w:ilvl="0" w:tplc="B14AEF66">
      <w:start w:val="4"/>
      <w:numFmt w:val="bullet"/>
      <w:lvlText w:val="-"/>
      <w:lvlJc w:val="left"/>
      <w:pPr>
        <w:ind w:left="1077" w:hanging="360"/>
      </w:pPr>
    </w:lvl>
    <w:lvl w:ilvl="1" w:tplc="04090003">
      <w:start w:val="1"/>
      <w:numFmt w:val="bullet"/>
      <w:lvlText w:val="o"/>
      <w:lvlJc w:val="left"/>
      <w:pPr>
        <w:ind w:left="1797" w:hanging="360"/>
      </w:pPr>
      <w:rPr>
        <w:rFonts w:ascii="Courier New" w:hAnsi="Courier New" w:cs="Courier New" w:hint="default"/>
      </w:rPr>
    </w:lvl>
    <w:lvl w:ilvl="2" w:tplc="04090005">
      <w:start w:val="1"/>
      <w:numFmt w:val="bullet"/>
      <w:lvlText w:val=""/>
      <w:lvlJc w:val="left"/>
      <w:pPr>
        <w:ind w:left="2517" w:hanging="360"/>
      </w:pPr>
      <w:rPr>
        <w:rFonts w:ascii="Wingdings" w:hAnsi="Wingdings" w:hint="default"/>
      </w:rPr>
    </w:lvl>
    <w:lvl w:ilvl="3" w:tplc="04090001">
      <w:start w:val="1"/>
      <w:numFmt w:val="bullet"/>
      <w:lvlText w:val=""/>
      <w:lvlJc w:val="left"/>
      <w:pPr>
        <w:ind w:left="3237" w:hanging="360"/>
      </w:pPr>
      <w:rPr>
        <w:rFonts w:ascii="Symbol" w:hAnsi="Symbol" w:hint="default"/>
      </w:rPr>
    </w:lvl>
    <w:lvl w:ilvl="4" w:tplc="04090003">
      <w:start w:val="1"/>
      <w:numFmt w:val="bullet"/>
      <w:lvlText w:val="o"/>
      <w:lvlJc w:val="left"/>
      <w:pPr>
        <w:ind w:left="3957" w:hanging="360"/>
      </w:pPr>
      <w:rPr>
        <w:rFonts w:ascii="Courier New" w:hAnsi="Courier New" w:cs="Courier New" w:hint="default"/>
      </w:rPr>
    </w:lvl>
    <w:lvl w:ilvl="5" w:tplc="04090005">
      <w:start w:val="1"/>
      <w:numFmt w:val="bullet"/>
      <w:lvlText w:val=""/>
      <w:lvlJc w:val="left"/>
      <w:pPr>
        <w:ind w:left="4677" w:hanging="360"/>
      </w:pPr>
      <w:rPr>
        <w:rFonts w:ascii="Wingdings" w:hAnsi="Wingdings" w:hint="default"/>
      </w:rPr>
    </w:lvl>
    <w:lvl w:ilvl="6" w:tplc="04090001">
      <w:start w:val="1"/>
      <w:numFmt w:val="bullet"/>
      <w:lvlText w:val=""/>
      <w:lvlJc w:val="left"/>
      <w:pPr>
        <w:ind w:left="5397" w:hanging="360"/>
      </w:pPr>
      <w:rPr>
        <w:rFonts w:ascii="Symbol" w:hAnsi="Symbol" w:hint="default"/>
      </w:rPr>
    </w:lvl>
    <w:lvl w:ilvl="7" w:tplc="04090003">
      <w:start w:val="1"/>
      <w:numFmt w:val="bullet"/>
      <w:lvlText w:val="o"/>
      <w:lvlJc w:val="left"/>
      <w:pPr>
        <w:ind w:left="6117" w:hanging="360"/>
      </w:pPr>
      <w:rPr>
        <w:rFonts w:ascii="Courier New" w:hAnsi="Courier New" w:cs="Courier New" w:hint="default"/>
      </w:rPr>
    </w:lvl>
    <w:lvl w:ilvl="8" w:tplc="04090005">
      <w:start w:val="1"/>
      <w:numFmt w:val="bullet"/>
      <w:lvlText w:val=""/>
      <w:lvlJc w:val="left"/>
      <w:pPr>
        <w:ind w:left="6837"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D3D"/>
    <w:rsid w:val="00027D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4579BC-F08F-449D-AC44-600D032D4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027D3D"/>
    <w:rPr>
      <w:color w:val="0563C1" w:themeColor="hyperlink"/>
      <w:u w:val="single"/>
    </w:rPr>
  </w:style>
  <w:style w:type="paragraph" w:styleId="ListParagraph">
    <w:name w:val="List Paragraph"/>
    <w:basedOn w:val="Normal"/>
    <w:uiPriority w:val="34"/>
    <w:qFormat/>
    <w:rsid w:val="00027D3D"/>
    <w:pPr>
      <w:tabs>
        <w:tab w:val="left" w:pos="567"/>
      </w:tabs>
      <w:snapToGrid w:val="0"/>
      <w:spacing w:after="0" w:line="260" w:lineRule="exact"/>
      <w:ind w:left="720"/>
      <w:contextualSpacing/>
    </w:pPr>
    <w:rPr>
      <w:rFonts w:ascii="Times New Roman" w:eastAsia="Calibri" w:hAnsi="Times New Roman" w:cs="Times New Roman"/>
      <w:szCs w:val="20"/>
      <w:lang w:val="en-GB"/>
    </w:rPr>
  </w:style>
  <w:style w:type="paragraph" w:customStyle="1" w:styleId="PI-3EMEASMCA">
    <w:name w:val="PI-3 EMEA_SMCA"/>
    <w:basedOn w:val="Normal"/>
    <w:autoRedefine/>
    <w:rsid w:val="00027D3D"/>
    <w:pPr>
      <w:spacing w:after="0" w:line="220" w:lineRule="exact"/>
    </w:pPr>
    <w:rPr>
      <w:rFonts w:ascii="Times New Roman" w:eastAsia="Times New Roman" w:hAnsi="Times New Roman" w:cs="Times New Roman"/>
      <w:bCs/>
      <w:iCs/>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1664</Words>
  <Characters>9486</Characters>
  <Application>Microsoft Office Word</Application>
  <DocSecurity>0</DocSecurity>
  <Lines>79</Lines>
  <Paragraphs>22</Paragraphs>
  <ScaleCrop>false</ScaleCrop>
  <Company/>
  <LinksUpToDate>false</LinksUpToDate>
  <CharactersWithSpaces>11128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2021-02-24T14:46:00Z</dcterms:created>
  <dcterms:modified xsi:type="dcterms:W3CDTF">2021-02-24T14:46:00Z</dcterms:modified>
</cp:coreProperties>
</file>