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79AA" w:rsidRDefault="00AB79AA" w:rsidP="00AB79AA">
      <w:pPr>
        <w:pStyle w:val="BodyText"/>
        <w:spacing w:after="0"/>
        <w:jc w:val="center"/>
        <w:rPr>
          <w:b/>
        </w:rPr>
      </w:pPr>
      <w:r>
        <w:rPr>
          <w:b/>
        </w:rPr>
        <w:t>PAKUOTĖS LAPELIS: INFORMACIJA VARTOTOJUI</w:t>
      </w:r>
    </w:p>
    <w:p w:rsidR="00AB79AA" w:rsidRDefault="00AB79AA" w:rsidP="00AB79AA">
      <w:pPr>
        <w:ind w:left="567" w:hanging="567"/>
        <w:jc w:val="center"/>
        <w:rPr>
          <w:b/>
        </w:rPr>
      </w:pPr>
    </w:p>
    <w:p w:rsidR="00AB79AA" w:rsidRDefault="00AB79AA" w:rsidP="00AB79AA">
      <w:pPr>
        <w:ind w:left="567" w:hanging="567"/>
        <w:jc w:val="center"/>
        <w:rPr>
          <w:b/>
        </w:rPr>
      </w:pPr>
      <w:r>
        <w:rPr>
          <w:b/>
        </w:rPr>
        <w:t>AFLUBIN geriamieji lašai, tirpalas</w:t>
      </w:r>
    </w:p>
    <w:p w:rsidR="00AB79AA" w:rsidRDefault="00AB79AA" w:rsidP="00AB79AA">
      <w:pPr>
        <w:pStyle w:val="BodyText"/>
        <w:spacing w:after="0"/>
        <w:jc w:val="center"/>
        <w:rPr>
          <w:b/>
        </w:rPr>
      </w:pPr>
      <w:r>
        <w:rPr>
          <w:szCs w:val="22"/>
        </w:rPr>
        <w:t>Gentiana lutea D1, Aconitum napellus D6, Bryonia D6, Ferrum phosphoricum D12, Acidum sarcolacticum D12</w:t>
      </w:r>
    </w:p>
    <w:p w:rsidR="00AB79AA" w:rsidRDefault="00AB79AA" w:rsidP="00AB79AA">
      <w:pPr>
        <w:pStyle w:val="BodyText"/>
        <w:spacing w:after="0"/>
      </w:pPr>
    </w:p>
    <w:p w:rsidR="00AB79AA" w:rsidRDefault="00AB79AA" w:rsidP="00AB79AA">
      <w:pPr>
        <w:pStyle w:val="BTbEMEASMCA"/>
        <w:rPr>
          <w:u w:val="none"/>
        </w:rPr>
      </w:pPr>
      <w:r>
        <w:rPr>
          <w:u w:val="none"/>
        </w:rPr>
        <w:t>Atidžiai perskaitykite visą šį lapelį, nes jame pateikiama Jums svarbi informacija.</w:t>
      </w:r>
    </w:p>
    <w:p w:rsidR="00AB79AA" w:rsidRDefault="00AB79AA" w:rsidP="00AB79AA">
      <w:pPr>
        <w:pStyle w:val="BTEMEASMCA"/>
        <w:rPr>
          <w:noProof w:val="0"/>
        </w:rPr>
      </w:pPr>
      <w:r>
        <w:rPr>
          <w:noProof w:val="0"/>
        </w:rPr>
        <w:t>AFLUBIN galima įsigyti be recepto, tačiau jį reikia vartoti tiksliai, kaip nurodyta, kad poveikis būtų geriausias.</w:t>
      </w:r>
    </w:p>
    <w:p w:rsidR="00AB79AA" w:rsidRDefault="00AB79AA" w:rsidP="00AB79AA">
      <w:pPr>
        <w:pStyle w:val="BT-EMEASMCA"/>
        <w:tabs>
          <w:tab w:val="clear" w:pos="360"/>
          <w:tab w:val="num" w:pos="720"/>
        </w:tabs>
        <w:ind w:left="720" w:hanging="363"/>
        <w:rPr>
          <w:noProof w:val="0"/>
        </w:rPr>
      </w:pPr>
      <w:r>
        <w:rPr>
          <w:noProof w:val="0"/>
        </w:rPr>
        <w:t>Neišmeskite šio lapelio, nes vėl gali prireikti jį perskaityti.</w:t>
      </w:r>
    </w:p>
    <w:p w:rsidR="00AB79AA" w:rsidRDefault="00AB79AA" w:rsidP="00AB79AA">
      <w:pPr>
        <w:pStyle w:val="BT-EMEASMCA"/>
        <w:tabs>
          <w:tab w:val="clear" w:pos="360"/>
          <w:tab w:val="num" w:pos="720"/>
        </w:tabs>
        <w:ind w:left="720" w:hanging="363"/>
        <w:rPr>
          <w:noProof w:val="0"/>
        </w:rPr>
      </w:pPr>
      <w:r>
        <w:rPr>
          <w:noProof w:val="0"/>
        </w:rPr>
        <w:t>Jeigu norite sužinoti daugiau arba pasitarti, kreipkitės į vaistininką.</w:t>
      </w:r>
    </w:p>
    <w:p w:rsidR="00AB79AA" w:rsidRDefault="00AB79AA" w:rsidP="00AB79AA">
      <w:pPr>
        <w:pStyle w:val="BT-EMEASMCA"/>
        <w:tabs>
          <w:tab w:val="clear" w:pos="360"/>
          <w:tab w:val="num" w:pos="720"/>
        </w:tabs>
        <w:ind w:left="720" w:hanging="363"/>
        <w:rPr>
          <w:noProof w:val="0"/>
        </w:rPr>
      </w:pPr>
      <w:r>
        <w:rPr>
          <w:noProof w:val="0"/>
        </w:rPr>
        <w:t>Jeigu simptomai pasunkėjo arba per 7 dienas nepalengvėjo, kreipkitės į gydytoją.</w:t>
      </w:r>
    </w:p>
    <w:p w:rsidR="00AB79AA" w:rsidRDefault="00AB79AA" w:rsidP="00AB79AA">
      <w:pPr>
        <w:pStyle w:val="BT-EMEASMCA"/>
        <w:tabs>
          <w:tab w:val="clear" w:pos="360"/>
          <w:tab w:val="num" w:pos="720"/>
        </w:tabs>
        <w:ind w:left="720" w:hanging="363"/>
        <w:rPr>
          <w:noProof w:val="0"/>
        </w:rPr>
      </w:pPr>
      <w:r>
        <w:rPr>
          <w:noProof w:val="0"/>
        </w:rPr>
        <w:t>Jeigu pasireiškė sunkus šalutinis poveikis arba pastebėjote šiame lapelyje nenurodytą šalutinį poveikį, pasakykite gydytojui arba vaistininkui.</w:t>
      </w:r>
    </w:p>
    <w:p w:rsidR="00AB79AA" w:rsidRDefault="00AB79AA" w:rsidP="00AB79AA">
      <w:pPr>
        <w:ind w:left="567" w:hanging="567"/>
        <w:rPr>
          <w:b/>
        </w:rPr>
      </w:pPr>
    </w:p>
    <w:p w:rsidR="00AB79AA" w:rsidRDefault="00AB79AA" w:rsidP="00AB79AA">
      <w:pPr>
        <w:ind w:left="567" w:hanging="567"/>
      </w:pPr>
    </w:p>
    <w:p w:rsidR="00AB79AA" w:rsidRDefault="00AB79AA" w:rsidP="00AB79AA">
      <w:pPr>
        <w:ind w:left="567" w:hanging="567"/>
        <w:rPr>
          <w:b/>
        </w:rPr>
      </w:pPr>
      <w:r>
        <w:rPr>
          <w:b/>
        </w:rPr>
        <w:t>Lapelio turinys</w:t>
      </w:r>
    </w:p>
    <w:p w:rsidR="00AB79AA" w:rsidRDefault="00AB79AA" w:rsidP="00AB79AA">
      <w:pPr>
        <w:ind w:left="567" w:hanging="567"/>
      </w:pPr>
      <w:r>
        <w:t>1.</w:t>
      </w:r>
      <w:r>
        <w:tab/>
        <w:t>Kas yra AFLUBIN ir kam jis vartojamas</w:t>
      </w:r>
    </w:p>
    <w:p w:rsidR="00AB79AA" w:rsidRDefault="00AB79AA" w:rsidP="00AB79AA">
      <w:pPr>
        <w:ind w:left="567" w:hanging="567"/>
      </w:pPr>
      <w:r>
        <w:t>2.</w:t>
      </w:r>
      <w:r>
        <w:tab/>
        <w:t>Kas žinotina prieš vartojant AFLUBIN</w:t>
      </w:r>
    </w:p>
    <w:p w:rsidR="00AB79AA" w:rsidRDefault="00AB79AA" w:rsidP="00AB79AA">
      <w:pPr>
        <w:ind w:left="567" w:hanging="567"/>
      </w:pPr>
      <w:r>
        <w:t>3.</w:t>
      </w:r>
      <w:r>
        <w:tab/>
        <w:t>Kaip vartoti AFLUBIN</w:t>
      </w:r>
    </w:p>
    <w:p w:rsidR="00AB79AA" w:rsidRDefault="00AB79AA" w:rsidP="00AB79AA">
      <w:pPr>
        <w:ind w:left="567" w:hanging="567"/>
      </w:pPr>
      <w:r>
        <w:t>4.</w:t>
      </w:r>
      <w:r>
        <w:tab/>
        <w:t>Galimas šalutinis poveikis</w:t>
      </w:r>
    </w:p>
    <w:p w:rsidR="00AB79AA" w:rsidRDefault="00AB79AA" w:rsidP="00AB79AA">
      <w:pPr>
        <w:ind w:left="567" w:hanging="567"/>
      </w:pPr>
      <w:r>
        <w:t>5.</w:t>
      </w:r>
      <w:r>
        <w:tab/>
        <w:t>Kaip laikyti AFLUBIN</w:t>
      </w:r>
    </w:p>
    <w:p w:rsidR="00AB79AA" w:rsidRDefault="00AB79AA" w:rsidP="00AB79AA">
      <w:pPr>
        <w:ind w:left="567" w:hanging="567"/>
      </w:pPr>
      <w:r>
        <w:t>6.</w:t>
      </w:r>
      <w:r>
        <w:tab/>
        <w:t>Kita informacija</w:t>
      </w:r>
    </w:p>
    <w:p w:rsidR="00AB79AA" w:rsidRDefault="00AB79AA" w:rsidP="00AB79AA">
      <w:pPr>
        <w:ind w:left="567" w:hanging="567"/>
      </w:pPr>
    </w:p>
    <w:p w:rsidR="00AB79AA" w:rsidRDefault="00AB79AA" w:rsidP="00AB79AA">
      <w:pPr>
        <w:ind w:left="567" w:hanging="567"/>
      </w:pPr>
    </w:p>
    <w:p w:rsidR="00AB79AA" w:rsidRDefault="00AB79AA" w:rsidP="00AB79AA">
      <w:pPr>
        <w:numPr>
          <w:ilvl w:val="12"/>
          <w:numId w:val="0"/>
        </w:numPr>
        <w:ind w:left="567" w:hanging="567"/>
        <w:outlineLvl w:val="0"/>
        <w:rPr>
          <w:b/>
          <w:caps/>
        </w:rPr>
      </w:pPr>
      <w:r>
        <w:rPr>
          <w:b/>
        </w:rPr>
        <w:t>1.</w:t>
      </w:r>
      <w:r>
        <w:rPr>
          <w:b/>
        </w:rPr>
        <w:tab/>
        <w:t xml:space="preserve">KAS YRA </w:t>
      </w:r>
      <w:r>
        <w:rPr>
          <w:rFonts w:ascii="Times New Roman Bold" w:hAnsi="Times New Roman Bold"/>
          <w:b/>
          <w:caps/>
        </w:rPr>
        <w:t>AFLUBIN</w:t>
      </w:r>
      <w:r>
        <w:rPr>
          <w:b/>
        </w:rPr>
        <w:t xml:space="preserve"> IR KAM JIS VARTOJAMAS</w:t>
      </w:r>
    </w:p>
    <w:p w:rsidR="00AB79AA" w:rsidRDefault="00AB79AA" w:rsidP="00AB79AA"/>
    <w:p w:rsidR="00AB79AA" w:rsidRDefault="00AB79AA" w:rsidP="00AB79AA">
      <w:r>
        <w:t>AFLUBIN vartojamas virusinės peršalimo infekcijos profilaktikai bei susirgus sąnarių ir raumenų skausmų malšinimui.</w:t>
      </w:r>
    </w:p>
    <w:p w:rsidR="00AB79AA" w:rsidRDefault="00AB79AA" w:rsidP="00AB79AA">
      <w:pPr>
        <w:pStyle w:val="BodyText"/>
        <w:spacing w:after="0"/>
      </w:pPr>
    </w:p>
    <w:p w:rsidR="00AB79AA" w:rsidRDefault="00AB79AA" w:rsidP="00AB79AA">
      <w:r>
        <w:t>Indikacijos pagrįstos tik homeopatijos principais. Jei ligos eiga sunkesnė, jos gydymui reikia naudoti kliniškai patikrintas priemones.</w:t>
      </w:r>
      <w:bookmarkStart w:id="0" w:name="_Section2"/>
      <w:bookmarkEnd w:id="0"/>
    </w:p>
    <w:p w:rsidR="00AB79AA" w:rsidRDefault="00AB79AA" w:rsidP="00AB79AA"/>
    <w:p w:rsidR="00AB79AA" w:rsidRDefault="00AB79AA" w:rsidP="00AB79AA"/>
    <w:p w:rsidR="00AB79AA" w:rsidRDefault="00AB79AA" w:rsidP="00AB79AA">
      <w:pPr>
        <w:numPr>
          <w:ilvl w:val="12"/>
          <w:numId w:val="0"/>
        </w:numPr>
        <w:ind w:left="567" w:hanging="567"/>
        <w:outlineLvl w:val="0"/>
        <w:rPr>
          <w:rFonts w:ascii="Times New Roman Bold" w:hAnsi="Times New Roman Bold"/>
          <w:b/>
          <w:caps/>
        </w:rPr>
      </w:pPr>
      <w:r>
        <w:rPr>
          <w:b/>
        </w:rPr>
        <w:t>2.</w:t>
      </w:r>
      <w:r>
        <w:rPr>
          <w:b/>
        </w:rPr>
        <w:tab/>
        <w:t xml:space="preserve">KAS ŽINOTINA PRIEŠ VARTOJANT </w:t>
      </w:r>
      <w:r>
        <w:rPr>
          <w:rFonts w:ascii="Times New Roman Bold" w:hAnsi="Times New Roman Bold"/>
          <w:b/>
          <w:caps/>
        </w:rPr>
        <w:t>AFLUBIN</w:t>
      </w:r>
    </w:p>
    <w:p w:rsidR="00AB79AA" w:rsidRDefault="00AB79AA" w:rsidP="00AB79AA">
      <w:pPr>
        <w:ind w:left="567" w:hanging="567"/>
      </w:pPr>
    </w:p>
    <w:p w:rsidR="00AB79AA" w:rsidRDefault="00AB79AA" w:rsidP="00AB79AA">
      <w:pPr>
        <w:ind w:left="567" w:hanging="567"/>
        <w:rPr>
          <w:b/>
          <w:caps/>
        </w:rPr>
      </w:pPr>
      <w:r>
        <w:rPr>
          <w:b/>
          <w:bCs/>
        </w:rPr>
        <w:t>AFLUBIN vartoti negalima:</w:t>
      </w:r>
    </w:p>
    <w:p w:rsidR="00AB79AA" w:rsidRDefault="00AB79AA" w:rsidP="00AB79AA">
      <w:pPr>
        <w:numPr>
          <w:ilvl w:val="0"/>
          <w:numId w:val="2"/>
        </w:numPr>
        <w:spacing w:after="0" w:line="240" w:lineRule="auto"/>
      </w:pPr>
      <w:r>
        <w:lastRenderedPageBreak/>
        <w:t>jeigu yra alergija (padidėjęs jautrumas) veikliosioms medžiagoms arba bet kuriai pagalbinei AFLUBIN medžiagai.</w:t>
      </w:r>
    </w:p>
    <w:p w:rsidR="00AB79AA" w:rsidRDefault="00AB79AA" w:rsidP="00AB79AA">
      <w:pPr>
        <w:ind w:left="567" w:hanging="567"/>
      </w:pPr>
    </w:p>
    <w:p w:rsidR="00AB79AA" w:rsidRDefault="00AB79AA" w:rsidP="00AB79AA">
      <w:pPr>
        <w:ind w:left="567" w:hanging="567"/>
        <w:rPr>
          <w:b/>
        </w:rPr>
      </w:pPr>
      <w:bookmarkStart w:id="1" w:name="OLE_LINK1"/>
      <w:bookmarkStart w:id="2" w:name="OLE_LINK2"/>
      <w:r>
        <w:rPr>
          <w:b/>
        </w:rPr>
        <w:t>Specialių atsargumo priemonių reikia:</w:t>
      </w:r>
    </w:p>
    <w:p w:rsidR="00AB79AA" w:rsidRDefault="00AB79AA" w:rsidP="00AB79AA">
      <w:pPr>
        <w:numPr>
          <w:ilvl w:val="0"/>
          <w:numId w:val="2"/>
        </w:numPr>
        <w:spacing w:after="0" w:line="240" w:lineRule="auto"/>
      </w:pPr>
      <w:r>
        <w:t>jeigu Jūs esate nėščia, pasakykite gydytojui;</w:t>
      </w:r>
    </w:p>
    <w:p w:rsidR="00AB79AA" w:rsidRDefault="00AB79AA" w:rsidP="00AB79AA">
      <w:pPr>
        <w:numPr>
          <w:ilvl w:val="0"/>
          <w:numId w:val="2"/>
        </w:numPr>
        <w:spacing w:after="0" w:line="240" w:lineRule="auto"/>
      </w:pPr>
      <w:r>
        <w:t>vaikams iki 1 metų AFLUBIN vartoti nerekomenduojama, kadangi vartojimo patirties nėra;</w:t>
      </w:r>
    </w:p>
    <w:p w:rsidR="00AB79AA" w:rsidRDefault="00AB79AA" w:rsidP="00AB79AA">
      <w:pPr>
        <w:numPr>
          <w:ilvl w:val="0"/>
          <w:numId w:val="2"/>
        </w:numPr>
        <w:spacing w:after="0" w:line="240" w:lineRule="auto"/>
      </w:pPr>
      <w:r>
        <w:t>kadangi AFLUBIN sudėtyje yra alkoholio, jis yra kenksmingas sergantiems alkoholizmu.</w:t>
      </w:r>
    </w:p>
    <w:p w:rsidR="00AB79AA" w:rsidRDefault="00AB79AA" w:rsidP="00AB79AA">
      <w:pPr>
        <w:ind w:left="567"/>
      </w:pPr>
    </w:p>
    <w:p w:rsidR="00AB79AA" w:rsidRDefault="00AB79AA" w:rsidP="00AB79AA">
      <w:pPr>
        <w:ind w:left="567" w:hanging="567"/>
        <w:rPr>
          <w:b/>
        </w:rPr>
      </w:pPr>
      <w:r>
        <w:rPr>
          <w:b/>
        </w:rPr>
        <w:t>Kitų vaistų vartojimas</w:t>
      </w:r>
    </w:p>
    <w:p w:rsidR="00AB79AA" w:rsidRDefault="00AB79AA" w:rsidP="00AB79AA">
      <w:pPr>
        <w:pStyle w:val="BTEMEASMCA"/>
        <w:rPr>
          <w:noProof w:val="0"/>
        </w:rPr>
      </w:pPr>
      <w:r>
        <w:rPr>
          <w:noProof w:val="0"/>
        </w:rPr>
        <w:t>Jeigu vartojate arba neseniai vartojote kitų vaistų, įskaitant įsigytus be recepto, pasakykite gydytojui arba vaistininkui.</w:t>
      </w:r>
    </w:p>
    <w:p w:rsidR="00AB79AA" w:rsidRDefault="00AB79AA" w:rsidP="00AB79AA">
      <w:r>
        <w:t>Kol kas nėra jokių duomenų apie galimą sąveiką su kitais vaistais.</w:t>
      </w:r>
    </w:p>
    <w:p w:rsidR="00AB79AA" w:rsidRDefault="00AB79AA" w:rsidP="00AB79AA">
      <w:pPr>
        <w:numPr>
          <w:ilvl w:val="12"/>
          <w:numId w:val="0"/>
        </w:numPr>
        <w:ind w:left="567" w:hanging="567"/>
      </w:pPr>
    </w:p>
    <w:p w:rsidR="00AB79AA" w:rsidRDefault="00AB79AA" w:rsidP="00AB79AA">
      <w:pPr>
        <w:numPr>
          <w:ilvl w:val="12"/>
          <w:numId w:val="0"/>
        </w:numPr>
        <w:ind w:left="567" w:hanging="567"/>
        <w:rPr>
          <w:b/>
        </w:rPr>
      </w:pPr>
      <w:r>
        <w:rPr>
          <w:b/>
        </w:rPr>
        <w:t>Nėštumas ir žindymo laikotarpis</w:t>
      </w:r>
    </w:p>
    <w:p w:rsidR="00AB79AA" w:rsidRDefault="00AB79AA" w:rsidP="00AB79AA">
      <w:pPr>
        <w:pStyle w:val="BTEMEASMCA"/>
        <w:rPr>
          <w:noProof w:val="0"/>
        </w:rPr>
      </w:pPr>
      <w:r>
        <w:rPr>
          <w:noProof w:val="0"/>
        </w:rPr>
        <w:t>Prieš vartojant bet kokį vaistą, būtina pasitarti su gydytoju arba vaistininku.</w:t>
      </w:r>
    </w:p>
    <w:p w:rsidR="00AB79AA" w:rsidRDefault="00AB79AA" w:rsidP="00AB79AA">
      <w:r>
        <w:t>Šiuo metu nėra jokių duomenų apie AFLUBIN keliamą pavojų, jei vaistas vartojamas nėštumo ir kūdikio žindymo laikotarpiu. Tačiau vaistą nėštumo ir kūdikio žindymo laikotarpiu galima gerti tik tuomet, kai gydytojas ar vaistininkas atidžiai įvertina jo vartojimo riziką.</w:t>
      </w:r>
      <w:r>
        <w:br/>
      </w:r>
    </w:p>
    <w:p w:rsidR="00AB79AA" w:rsidRDefault="00AB79AA" w:rsidP="00AB79AA">
      <w:pPr>
        <w:pStyle w:val="PI-3EMEASMCA"/>
      </w:pPr>
      <w:r>
        <w:t>Vairavimas ir mechanizmų valdymas</w:t>
      </w:r>
    </w:p>
    <w:p w:rsidR="00AB79AA" w:rsidRDefault="00AB79AA" w:rsidP="00AB79AA">
      <w:r>
        <w:t>Jei AFLUBIN vartojamas teisingai, jis neturi įtakos gebėjimui vairuoti ir valdyti mechanizmus arba ši įtaka nereikšminga.</w:t>
      </w:r>
    </w:p>
    <w:p w:rsidR="00AB79AA" w:rsidRDefault="00AB79AA" w:rsidP="00AB79AA"/>
    <w:p w:rsidR="00AB79AA" w:rsidRDefault="00AB79AA" w:rsidP="00AB79AA">
      <w:pPr>
        <w:pStyle w:val="Heading3"/>
      </w:pPr>
      <w:r>
        <w:t>Svarbi informacija apie kai kurias pagalbines AFLUBIN medžiagas</w:t>
      </w:r>
    </w:p>
    <w:p w:rsidR="00AB79AA" w:rsidRDefault="00AB79AA" w:rsidP="00AB79AA">
      <w:r>
        <w:t>Šio vaisto sudėtyje yra 43% (m/m) etanolio (alkoholio), t.y. iki 160 mg dozėje (atitinka 32 ml alaus, 13 ml vyno). Būtina atsižvelgti nėščiosioms, žindyvėms, vaikams ir per didelės rizikos grupės (pvz., sergantiesiems kepenų ligomis ar epilepsija) pacientams.</w:t>
      </w:r>
    </w:p>
    <w:bookmarkEnd w:id="1"/>
    <w:bookmarkEnd w:id="2"/>
    <w:p w:rsidR="00AB79AA" w:rsidRDefault="00AB79AA" w:rsidP="00AB79AA"/>
    <w:p w:rsidR="00AB79AA" w:rsidRDefault="00AB79AA" w:rsidP="00AB79AA">
      <w:pPr>
        <w:ind w:left="567" w:hanging="567"/>
      </w:pPr>
    </w:p>
    <w:p w:rsidR="00AB79AA" w:rsidRDefault="00AB79AA" w:rsidP="00AB79AA">
      <w:pPr>
        <w:numPr>
          <w:ilvl w:val="12"/>
          <w:numId w:val="0"/>
        </w:numPr>
        <w:ind w:left="567" w:hanging="567"/>
        <w:outlineLvl w:val="0"/>
        <w:rPr>
          <w:rFonts w:ascii="Times New Roman Bold" w:hAnsi="Times New Roman Bold"/>
          <w:b/>
          <w:caps/>
        </w:rPr>
      </w:pPr>
      <w:r>
        <w:rPr>
          <w:b/>
        </w:rPr>
        <w:t>3.</w:t>
      </w:r>
      <w:r>
        <w:rPr>
          <w:b/>
        </w:rPr>
        <w:tab/>
        <w:t xml:space="preserve">KAIP VARTOTI </w:t>
      </w:r>
      <w:r>
        <w:rPr>
          <w:rFonts w:ascii="Times New Roman Bold" w:hAnsi="Times New Roman Bold"/>
          <w:b/>
          <w:caps/>
        </w:rPr>
        <w:t>AFLUBIN</w:t>
      </w:r>
    </w:p>
    <w:p w:rsidR="00AB79AA" w:rsidRDefault="00AB79AA" w:rsidP="00AB79AA">
      <w:pPr>
        <w:ind w:left="567" w:hanging="567"/>
      </w:pPr>
    </w:p>
    <w:p w:rsidR="00AB79AA" w:rsidRDefault="00AB79AA" w:rsidP="00AB79AA">
      <w:pPr>
        <w:pStyle w:val="BTEMEASMCA"/>
        <w:rPr>
          <w:noProof w:val="0"/>
        </w:rPr>
      </w:pPr>
      <w:r>
        <w:rPr>
          <w:noProof w:val="0"/>
        </w:rPr>
        <w:t>AFLUBIN visada vartokite tiksliai, kaip nurodė gydytojas. Jeigu abejojate, kreipkitės į gydytoją arba vaistininką.</w:t>
      </w:r>
    </w:p>
    <w:p w:rsidR="00AB79AA" w:rsidRDefault="00AB79AA" w:rsidP="00AB79AA">
      <w:pPr>
        <w:ind w:left="567" w:hanging="567"/>
      </w:pPr>
    </w:p>
    <w:p w:rsidR="00AB79AA" w:rsidRDefault="00AB79AA" w:rsidP="00AB79AA">
      <w:pPr>
        <w:rPr>
          <w:b/>
        </w:rPr>
      </w:pPr>
      <w:r>
        <w:rPr>
          <w:b/>
        </w:rPr>
        <w:t>Dozavimas</w:t>
      </w:r>
    </w:p>
    <w:p w:rsidR="00AB79AA" w:rsidRDefault="00AB79AA" w:rsidP="00AB79AA">
      <w:r>
        <w:t>Dozė turėtų būti parenkama individualiai, įvertinus ligos ypatumus. Jei Jūsų gydytojas nenurodė kitaip, AFLUBIN reikėtų vartoti pagal lentelėje nurodytą tvarką:</w:t>
      </w:r>
      <w:r>
        <w:br/>
      </w:r>
    </w:p>
    <w:p w:rsidR="00AB79AA" w:rsidRDefault="00AB79AA" w:rsidP="00AB79AA">
      <w:pPr>
        <w:rPr>
          <w:i/>
        </w:rPr>
      </w:pPr>
      <w:r>
        <w:rPr>
          <w:i/>
        </w:rPr>
        <w:t>1. Gydymo pradžia (I ir II gydymo dienos)</w:t>
      </w:r>
    </w:p>
    <w:p w:rsidR="00AB79AA" w:rsidRDefault="00AB79AA" w:rsidP="00AB79AA">
      <w:pPr>
        <w:ind w:left="360"/>
      </w:pPr>
    </w:p>
    <w:tbl>
      <w:tblPr>
        <w:tblW w:w="5000" w:type="pct"/>
        <w:tblCellSpacing w:w="15" w:type="dxa"/>
        <w:tblInd w:w="4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084"/>
        <w:gridCol w:w="1944"/>
        <w:gridCol w:w="4594"/>
      </w:tblGrid>
      <w:tr w:rsidR="00AB79AA" w:rsidTr="0070626E">
        <w:trPr>
          <w:tblCellSpacing w:w="15" w:type="dxa"/>
        </w:trPr>
        <w:tc>
          <w:tcPr>
            <w:tcW w:w="290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B79AA" w:rsidRDefault="00AB79AA" w:rsidP="0070626E">
            <w:pPr>
              <w:spacing w:line="256" w:lineRule="auto"/>
            </w:pPr>
          </w:p>
          <w:p w:rsidR="00AB79AA" w:rsidRDefault="00AB79AA" w:rsidP="0070626E">
            <w:pPr>
              <w:spacing w:line="256" w:lineRule="auto"/>
            </w:pPr>
            <w:r>
              <w:t>Paaugliai nuo 12 metų ir suaugusieji</w:t>
            </w:r>
          </w:p>
        </w:tc>
        <w:tc>
          <w:tcPr>
            <w:tcW w:w="18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B79AA" w:rsidRDefault="00AB79AA" w:rsidP="0070626E">
            <w:pPr>
              <w:spacing w:line="256" w:lineRule="auto"/>
            </w:pPr>
            <w:r>
              <w:t>Dozė</w:t>
            </w:r>
          </w:p>
        </w:tc>
        <w:tc>
          <w:tcPr>
            <w:tcW w:w="43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B79AA" w:rsidRDefault="00AB79AA" w:rsidP="0070626E">
            <w:pPr>
              <w:spacing w:line="256" w:lineRule="auto"/>
            </w:pPr>
            <w:r>
              <w:t>Vartojimas</w:t>
            </w:r>
          </w:p>
        </w:tc>
      </w:tr>
      <w:tr w:rsidR="00AB79AA" w:rsidTr="0070626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79AA" w:rsidRDefault="00AB79AA" w:rsidP="0070626E">
            <w:pPr>
              <w:spacing w:line="256" w:lineRule="auto"/>
            </w:pPr>
          </w:p>
        </w:tc>
        <w:tc>
          <w:tcPr>
            <w:tcW w:w="18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B79AA" w:rsidRDefault="00AB79AA" w:rsidP="0070626E">
            <w:pPr>
              <w:spacing w:line="256" w:lineRule="auto"/>
            </w:pPr>
            <w:r>
              <w:t>10 lašų</w:t>
            </w:r>
          </w:p>
        </w:tc>
        <w:tc>
          <w:tcPr>
            <w:tcW w:w="434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B79AA" w:rsidRDefault="00AB79AA" w:rsidP="0070626E">
            <w:pPr>
              <w:spacing w:line="256" w:lineRule="auto"/>
            </w:pPr>
            <w:r>
              <w:t>Pradėjus gydyti – gerti kas 30-60 min. (daugiausia 8 kartus per dieną).</w:t>
            </w:r>
            <w:r>
              <w:br/>
              <w:t>Pradėjus sveikatai gerėti, dozę reikia sumažinti iki 3 kartų per dieną.</w:t>
            </w:r>
          </w:p>
        </w:tc>
      </w:tr>
      <w:tr w:rsidR="00AB79AA" w:rsidTr="0070626E">
        <w:trPr>
          <w:tblCellSpacing w:w="15" w:type="dxa"/>
        </w:trPr>
        <w:tc>
          <w:tcPr>
            <w:tcW w:w="29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B79AA" w:rsidRDefault="00AB79AA" w:rsidP="0070626E">
            <w:pPr>
              <w:spacing w:line="256" w:lineRule="auto"/>
            </w:pPr>
            <w:r>
              <w:t>Vaikai nuo 1 metų</w:t>
            </w:r>
          </w:p>
        </w:tc>
        <w:tc>
          <w:tcPr>
            <w:tcW w:w="18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B79AA" w:rsidRDefault="00AB79AA" w:rsidP="0070626E">
            <w:pPr>
              <w:spacing w:line="256" w:lineRule="auto"/>
            </w:pPr>
            <w:r>
              <w:t>5 lašai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9AA" w:rsidRDefault="00AB79AA" w:rsidP="0070626E">
            <w:pPr>
              <w:spacing w:line="256" w:lineRule="auto"/>
            </w:pPr>
          </w:p>
        </w:tc>
      </w:tr>
    </w:tbl>
    <w:p w:rsidR="00AB79AA" w:rsidRDefault="00AB79AA" w:rsidP="00AB79AA"/>
    <w:p w:rsidR="00AB79AA" w:rsidRDefault="00AB79AA" w:rsidP="00AB79AA">
      <w:r>
        <w:t>Jei ligos požymiai laikosi, toliau gydoma pagal kitos lentelės nuorodas:</w:t>
      </w:r>
      <w:r>
        <w:br/>
      </w:r>
    </w:p>
    <w:p w:rsidR="00AB79AA" w:rsidRDefault="00AB79AA" w:rsidP="00AB79AA">
      <w:pPr>
        <w:rPr>
          <w:i/>
        </w:rPr>
      </w:pPr>
      <w:r>
        <w:rPr>
          <w:i/>
        </w:rPr>
        <w:t>2. Gydymo tąsa</w:t>
      </w:r>
    </w:p>
    <w:p w:rsidR="00AB79AA" w:rsidRDefault="00AB79AA" w:rsidP="00AB79AA"/>
    <w:tbl>
      <w:tblPr>
        <w:tblW w:w="9363" w:type="dxa"/>
        <w:tblCellSpacing w:w="15" w:type="dxa"/>
        <w:tblInd w:w="4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036"/>
        <w:gridCol w:w="1767"/>
        <w:gridCol w:w="4560"/>
      </w:tblGrid>
      <w:tr w:rsidR="00AB79AA" w:rsidTr="0070626E">
        <w:trPr>
          <w:tblCellSpacing w:w="15" w:type="dxa"/>
        </w:trPr>
        <w:tc>
          <w:tcPr>
            <w:tcW w:w="29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B79AA" w:rsidRDefault="00AB79AA" w:rsidP="0070626E">
            <w:pPr>
              <w:spacing w:line="256" w:lineRule="auto"/>
            </w:pPr>
          </w:p>
        </w:tc>
        <w:tc>
          <w:tcPr>
            <w:tcW w:w="17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B79AA" w:rsidRDefault="00AB79AA" w:rsidP="0070626E">
            <w:pPr>
              <w:spacing w:line="256" w:lineRule="auto"/>
            </w:pPr>
            <w:r>
              <w:t>Dozė</w:t>
            </w:r>
          </w:p>
        </w:tc>
        <w:tc>
          <w:tcPr>
            <w:tcW w:w="4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B79AA" w:rsidRDefault="00AB79AA" w:rsidP="0070626E">
            <w:pPr>
              <w:spacing w:line="256" w:lineRule="auto"/>
            </w:pPr>
            <w:r>
              <w:t>Vartojimas</w:t>
            </w:r>
          </w:p>
        </w:tc>
      </w:tr>
      <w:tr w:rsidR="00AB79AA" w:rsidTr="0070626E">
        <w:trPr>
          <w:tblCellSpacing w:w="15" w:type="dxa"/>
        </w:trPr>
        <w:tc>
          <w:tcPr>
            <w:tcW w:w="29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B79AA" w:rsidRDefault="00AB79AA" w:rsidP="0070626E">
            <w:pPr>
              <w:spacing w:line="256" w:lineRule="auto"/>
            </w:pPr>
            <w:r>
              <w:t>Paaugliai nuo 12 metų ir suaugusieji</w:t>
            </w:r>
          </w:p>
        </w:tc>
        <w:tc>
          <w:tcPr>
            <w:tcW w:w="17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B79AA" w:rsidRDefault="00AB79AA" w:rsidP="0070626E">
            <w:pPr>
              <w:spacing w:line="256" w:lineRule="auto"/>
            </w:pPr>
            <w:r>
              <w:t>10 lašų</w:t>
            </w:r>
          </w:p>
        </w:tc>
        <w:tc>
          <w:tcPr>
            <w:tcW w:w="4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B79AA" w:rsidRDefault="00AB79AA" w:rsidP="0070626E">
            <w:pPr>
              <w:spacing w:line="256" w:lineRule="auto"/>
            </w:pPr>
            <w:r>
              <w:t>3 kartus per dieną.</w:t>
            </w:r>
          </w:p>
        </w:tc>
      </w:tr>
      <w:tr w:rsidR="00AB79AA" w:rsidTr="0070626E">
        <w:trPr>
          <w:tblCellSpacing w:w="15" w:type="dxa"/>
        </w:trPr>
        <w:tc>
          <w:tcPr>
            <w:tcW w:w="29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B79AA" w:rsidRDefault="00AB79AA" w:rsidP="0070626E">
            <w:pPr>
              <w:spacing w:line="256" w:lineRule="auto"/>
            </w:pPr>
            <w:r>
              <w:t>Vaikai nuo 1 metų</w:t>
            </w:r>
          </w:p>
        </w:tc>
        <w:tc>
          <w:tcPr>
            <w:tcW w:w="17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B79AA" w:rsidRDefault="00AB79AA" w:rsidP="0070626E">
            <w:pPr>
              <w:spacing w:line="256" w:lineRule="auto"/>
            </w:pPr>
            <w:r>
              <w:t>5 lašai</w:t>
            </w:r>
          </w:p>
        </w:tc>
        <w:tc>
          <w:tcPr>
            <w:tcW w:w="4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B79AA" w:rsidRDefault="00AB79AA" w:rsidP="0070626E">
            <w:pPr>
              <w:spacing w:line="256" w:lineRule="auto"/>
            </w:pPr>
            <w:r>
              <w:t>3 kartus per dieną.</w:t>
            </w:r>
          </w:p>
        </w:tc>
      </w:tr>
    </w:tbl>
    <w:p w:rsidR="00AB79AA" w:rsidRDefault="00AB79AA" w:rsidP="00AB79AA"/>
    <w:p w:rsidR="00AB79AA" w:rsidRDefault="00AB79AA" w:rsidP="00AB79AA">
      <w:pPr>
        <w:rPr>
          <w:i/>
        </w:rPr>
      </w:pPr>
      <w:r>
        <w:rPr>
          <w:i/>
        </w:rPr>
        <w:t>3. Profilaktika</w:t>
      </w:r>
    </w:p>
    <w:p w:rsidR="00AB79AA" w:rsidRDefault="00AB79AA" w:rsidP="00AB79AA">
      <w:pPr>
        <w:rPr>
          <w:i/>
        </w:rPr>
      </w:pPr>
      <w:r>
        <w:br/>
      </w:r>
      <w:r>
        <w:rPr>
          <w:i/>
        </w:rPr>
        <w:t xml:space="preserve">a. Planinė profilaktika prieš peršalimo ligų ar gripo sezoną </w:t>
      </w:r>
    </w:p>
    <w:tbl>
      <w:tblPr>
        <w:tblW w:w="9363" w:type="dxa"/>
        <w:tblCellSpacing w:w="15" w:type="dxa"/>
        <w:tblInd w:w="4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036"/>
        <w:gridCol w:w="1767"/>
        <w:gridCol w:w="4560"/>
      </w:tblGrid>
      <w:tr w:rsidR="00AB79AA" w:rsidTr="0070626E">
        <w:trPr>
          <w:tblCellSpacing w:w="15" w:type="dxa"/>
        </w:trPr>
        <w:tc>
          <w:tcPr>
            <w:tcW w:w="29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B79AA" w:rsidRDefault="00AB79AA" w:rsidP="0070626E">
            <w:pPr>
              <w:spacing w:line="256" w:lineRule="auto"/>
            </w:pPr>
          </w:p>
        </w:tc>
        <w:tc>
          <w:tcPr>
            <w:tcW w:w="17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B79AA" w:rsidRDefault="00AB79AA" w:rsidP="0070626E">
            <w:pPr>
              <w:spacing w:line="256" w:lineRule="auto"/>
            </w:pPr>
            <w:r>
              <w:t>Dozė</w:t>
            </w:r>
          </w:p>
        </w:tc>
        <w:tc>
          <w:tcPr>
            <w:tcW w:w="4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B79AA" w:rsidRDefault="00AB79AA" w:rsidP="0070626E">
            <w:pPr>
              <w:spacing w:line="256" w:lineRule="auto"/>
            </w:pPr>
            <w:r>
              <w:t>Vartojimas</w:t>
            </w:r>
          </w:p>
        </w:tc>
      </w:tr>
      <w:tr w:rsidR="00AB79AA" w:rsidTr="0070626E">
        <w:trPr>
          <w:tblCellSpacing w:w="15" w:type="dxa"/>
        </w:trPr>
        <w:tc>
          <w:tcPr>
            <w:tcW w:w="29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B79AA" w:rsidRDefault="00AB79AA" w:rsidP="0070626E">
            <w:pPr>
              <w:spacing w:line="256" w:lineRule="auto"/>
            </w:pPr>
            <w:r>
              <w:t>Paaugliai nuo 12 metų ir suaugusieji</w:t>
            </w:r>
          </w:p>
        </w:tc>
        <w:tc>
          <w:tcPr>
            <w:tcW w:w="17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B79AA" w:rsidRDefault="00AB79AA" w:rsidP="0070626E">
            <w:pPr>
              <w:spacing w:line="256" w:lineRule="auto"/>
            </w:pPr>
            <w:r>
              <w:t>10 lašų</w:t>
            </w:r>
          </w:p>
        </w:tc>
        <w:tc>
          <w:tcPr>
            <w:tcW w:w="4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B79AA" w:rsidRDefault="00AB79AA" w:rsidP="0070626E">
            <w:pPr>
              <w:spacing w:line="256" w:lineRule="auto"/>
            </w:pPr>
            <w:r>
              <w:t>2 kartus per dieną 3 savaites.</w:t>
            </w:r>
          </w:p>
        </w:tc>
      </w:tr>
      <w:tr w:rsidR="00AB79AA" w:rsidTr="0070626E">
        <w:trPr>
          <w:tblCellSpacing w:w="15" w:type="dxa"/>
        </w:trPr>
        <w:tc>
          <w:tcPr>
            <w:tcW w:w="29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B79AA" w:rsidRDefault="00AB79AA" w:rsidP="0070626E">
            <w:pPr>
              <w:spacing w:line="256" w:lineRule="auto"/>
            </w:pPr>
            <w:r>
              <w:t>Vaikai nuo 1 metų</w:t>
            </w:r>
          </w:p>
        </w:tc>
        <w:tc>
          <w:tcPr>
            <w:tcW w:w="17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B79AA" w:rsidRDefault="00AB79AA" w:rsidP="0070626E">
            <w:pPr>
              <w:spacing w:line="256" w:lineRule="auto"/>
            </w:pPr>
            <w:r>
              <w:t>5 lašai</w:t>
            </w:r>
          </w:p>
        </w:tc>
        <w:tc>
          <w:tcPr>
            <w:tcW w:w="4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B79AA" w:rsidRDefault="00AB79AA" w:rsidP="0070626E">
            <w:pPr>
              <w:spacing w:line="256" w:lineRule="auto"/>
            </w:pPr>
            <w:r>
              <w:t>2 kartus per dieną 3 savaites.</w:t>
            </w:r>
          </w:p>
        </w:tc>
      </w:tr>
    </w:tbl>
    <w:p w:rsidR="00AB79AA" w:rsidRDefault="00AB79AA" w:rsidP="00AB79AA"/>
    <w:p w:rsidR="00AB79AA" w:rsidRDefault="00AB79AA" w:rsidP="00AB79AA">
      <w:pPr>
        <w:rPr>
          <w:i/>
        </w:rPr>
      </w:pPr>
      <w:r>
        <w:rPr>
          <w:i/>
        </w:rPr>
        <w:t xml:space="preserve">b. Ūmios būklės profilaktika – po smarkaus peršalimo arba bendravimo su sergančiuoju gripu </w:t>
      </w:r>
    </w:p>
    <w:tbl>
      <w:tblPr>
        <w:tblW w:w="9363" w:type="dxa"/>
        <w:tblCellSpacing w:w="15" w:type="dxa"/>
        <w:tblInd w:w="4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036"/>
        <w:gridCol w:w="1767"/>
        <w:gridCol w:w="4560"/>
      </w:tblGrid>
      <w:tr w:rsidR="00AB79AA" w:rsidTr="0070626E">
        <w:trPr>
          <w:tblCellSpacing w:w="15" w:type="dxa"/>
        </w:trPr>
        <w:tc>
          <w:tcPr>
            <w:tcW w:w="29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B79AA" w:rsidRDefault="00AB79AA" w:rsidP="0070626E">
            <w:pPr>
              <w:spacing w:line="256" w:lineRule="auto"/>
            </w:pPr>
          </w:p>
        </w:tc>
        <w:tc>
          <w:tcPr>
            <w:tcW w:w="17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B79AA" w:rsidRDefault="00AB79AA" w:rsidP="0070626E">
            <w:pPr>
              <w:spacing w:line="256" w:lineRule="auto"/>
            </w:pPr>
            <w:r>
              <w:t>Dozė</w:t>
            </w:r>
          </w:p>
        </w:tc>
        <w:tc>
          <w:tcPr>
            <w:tcW w:w="4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B79AA" w:rsidRDefault="00AB79AA" w:rsidP="0070626E">
            <w:pPr>
              <w:spacing w:line="256" w:lineRule="auto"/>
            </w:pPr>
            <w:r>
              <w:t>Vartojimas</w:t>
            </w:r>
          </w:p>
        </w:tc>
      </w:tr>
      <w:tr w:rsidR="00AB79AA" w:rsidTr="0070626E">
        <w:trPr>
          <w:tblCellSpacing w:w="15" w:type="dxa"/>
        </w:trPr>
        <w:tc>
          <w:tcPr>
            <w:tcW w:w="29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B79AA" w:rsidRDefault="00AB79AA" w:rsidP="0070626E">
            <w:pPr>
              <w:spacing w:line="256" w:lineRule="auto"/>
            </w:pPr>
            <w:r>
              <w:t>Paaugliai nuo 12 metų ir suaugusieji</w:t>
            </w:r>
          </w:p>
        </w:tc>
        <w:tc>
          <w:tcPr>
            <w:tcW w:w="17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B79AA" w:rsidRDefault="00AB79AA" w:rsidP="0070626E">
            <w:pPr>
              <w:spacing w:line="256" w:lineRule="auto"/>
            </w:pPr>
            <w:r>
              <w:t>10 lašų</w:t>
            </w:r>
          </w:p>
        </w:tc>
        <w:tc>
          <w:tcPr>
            <w:tcW w:w="4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B79AA" w:rsidRDefault="00AB79AA" w:rsidP="0070626E">
            <w:pPr>
              <w:spacing w:line="256" w:lineRule="auto"/>
            </w:pPr>
            <w:r>
              <w:t>2 kartus per dieną 2 dienas.</w:t>
            </w:r>
          </w:p>
        </w:tc>
      </w:tr>
      <w:tr w:rsidR="00AB79AA" w:rsidTr="0070626E">
        <w:trPr>
          <w:tblCellSpacing w:w="15" w:type="dxa"/>
        </w:trPr>
        <w:tc>
          <w:tcPr>
            <w:tcW w:w="29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B79AA" w:rsidRDefault="00AB79AA" w:rsidP="0070626E">
            <w:pPr>
              <w:spacing w:line="256" w:lineRule="auto"/>
            </w:pPr>
            <w:r>
              <w:t>Vaikai nuo 1 metų</w:t>
            </w:r>
          </w:p>
        </w:tc>
        <w:tc>
          <w:tcPr>
            <w:tcW w:w="17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B79AA" w:rsidRDefault="00AB79AA" w:rsidP="0070626E">
            <w:pPr>
              <w:spacing w:line="256" w:lineRule="auto"/>
            </w:pPr>
            <w:r>
              <w:t>5 lašai</w:t>
            </w:r>
          </w:p>
        </w:tc>
        <w:tc>
          <w:tcPr>
            <w:tcW w:w="4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B79AA" w:rsidRDefault="00AB79AA" w:rsidP="0070626E">
            <w:pPr>
              <w:spacing w:line="256" w:lineRule="auto"/>
            </w:pPr>
            <w:r>
              <w:t>2 kartus per dieną 2 dienas.</w:t>
            </w:r>
          </w:p>
        </w:tc>
      </w:tr>
    </w:tbl>
    <w:p w:rsidR="00AB79AA" w:rsidRDefault="00AB79AA" w:rsidP="00AB79AA"/>
    <w:p w:rsidR="00AB79AA" w:rsidRDefault="00AB79AA" w:rsidP="00AB79AA">
      <w:pPr>
        <w:rPr>
          <w:b/>
        </w:rPr>
      </w:pPr>
      <w:r>
        <w:rPr>
          <w:b/>
        </w:rPr>
        <w:t>Vartojimo metodas</w:t>
      </w:r>
    </w:p>
    <w:p w:rsidR="00AB79AA" w:rsidRDefault="00AB79AA" w:rsidP="00AB79AA">
      <w:r>
        <w:lastRenderedPageBreak/>
        <w:t>Norint, kad vaistas veiktų geriausiai, AFLUBIN reikia išgerti mažiausiai 30 min. prieš valgį arba 1 valandą po valgio. Prieš nuryjant, vaistą šiek tiek palaikykite burnoje. AFLUBIN galima gerti neatskiestą arba atskiedus mažu vandens kiekiu.</w:t>
      </w:r>
      <w:r>
        <w:br/>
      </w:r>
    </w:p>
    <w:p w:rsidR="00AB79AA" w:rsidRDefault="00AB79AA" w:rsidP="00AB79AA">
      <w:pPr>
        <w:pStyle w:val="PI-3EMEASMCA"/>
      </w:pPr>
      <w:r>
        <w:t>Pavartojus per didelę AFLUBIN dozę</w:t>
      </w:r>
    </w:p>
    <w:p w:rsidR="00AB79AA" w:rsidRDefault="00AB79AA" w:rsidP="00AB79AA">
      <w:r>
        <w:t>Perdozavimo atvejų nepasitaikė. Jei vaisto perdozuojama, apsinuodijimo ar sutrikimų nesitikima, nes vaisto sudedamosios medžiagos labai atskiestos.</w:t>
      </w:r>
    </w:p>
    <w:p w:rsidR="00AB79AA" w:rsidRDefault="00AB79AA" w:rsidP="00AB79AA">
      <w:r>
        <w:t>Alkoholio poveikis gali atsirasti tuomet, jei preparato išgeriama daugiau, nei nurodyta  skyriuje „Kaip vartoti AFLUBIN“.</w:t>
      </w:r>
    </w:p>
    <w:p w:rsidR="00AB79AA" w:rsidRDefault="00AB79AA" w:rsidP="00AB79AA">
      <w:pPr>
        <w:ind w:left="567" w:hanging="567"/>
      </w:pPr>
    </w:p>
    <w:p w:rsidR="00AB79AA" w:rsidRDefault="00AB79AA" w:rsidP="00AB79AA">
      <w:pPr>
        <w:pStyle w:val="BTEMEASMCA"/>
        <w:rPr>
          <w:noProof w:val="0"/>
        </w:rPr>
      </w:pPr>
      <w:r>
        <w:rPr>
          <w:noProof w:val="0"/>
        </w:rPr>
        <w:t>Jeigu kiltų daugiau klausimų dėl šio vaisto vartojimo, kreipkitės į gydytoją arba vaistininką.</w:t>
      </w:r>
    </w:p>
    <w:p w:rsidR="00AB79AA" w:rsidRDefault="00AB79AA" w:rsidP="00AB79AA">
      <w:pPr>
        <w:ind w:left="567" w:hanging="567"/>
      </w:pPr>
    </w:p>
    <w:p w:rsidR="00AB79AA" w:rsidRDefault="00AB79AA" w:rsidP="00AB79AA">
      <w:pPr>
        <w:ind w:left="567" w:hanging="567"/>
      </w:pPr>
    </w:p>
    <w:p w:rsidR="00AB79AA" w:rsidRDefault="00AB79AA" w:rsidP="00AB79AA">
      <w:pPr>
        <w:numPr>
          <w:ilvl w:val="12"/>
          <w:numId w:val="0"/>
        </w:numPr>
        <w:ind w:left="567" w:hanging="567"/>
        <w:outlineLvl w:val="0"/>
        <w:rPr>
          <w:b/>
          <w:caps/>
        </w:rPr>
      </w:pPr>
      <w:r>
        <w:rPr>
          <w:b/>
          <w:caps/>
        </w:rPr>
        <w:t>4.</w:t>
      </w:r>
      <w:r>
        <w:rPr>
          <w:b/>
          <w:caps/>
        </w:rPr>
        <w:tab/>
        <w:t xml:space="preserve">galimAS </w:t>
      </w:r>
      <w:r>
        <w:rPr>
          <w:b/>
        </w:rPr>
        <w:t xml:space="preserve">ŠALUTINIS </w:t>
      </w:r>
      <w:r>
        <w:rPr>
          <w:b/>
          <w:caps/>
        </w:rPr>
        <w:t>poveikiS</w:t>
      </w:r>
    </w:p>
    <w:p w:rsidR="00AB79AA" w:rsidRDefault="00AB79AA" w:rsidP="00AB79AA">
      <w:pPr>
        <w:pStyle w:val="BTEMEASMCA"/>
        <w:rPr>
          <w:noProof w:val="0"/>
        </w:rPr>
      </w:pPr>
    </w:p>
    <w:p w:rsidR="00AB79AA" w:rsidRDefault="00AB79AA" w:rsidP="00AB79AA">
      <w:pPr>
        <w:pStyle w:val="BTEMEASMCA"/>
        <w:rPr>
          <w:noProof w:val="0"/>
        </w:rPr>
      </w:pPr>
      <w:r>
        <w:rPr>
          <w:noProof w:val="0"/>
        </w:rPr>
        <w:t>AFLUBIN, kaip ir visi kiti vaistai, gali sukelti šalutinį poveikį, nors jis pasireiškia ne visiems žmonėms.</w:t>
      </w:r>
    </w:p>
    <w:p w:rsidR="00AB79AA" w:rsidRDefault="00AB79AA" w:rsidP="00AB79AA">
      <w:r>
        <w:t>Iki šiol jokių duomenų apie šalutinį poveikį negauta.</w:t>
      </w:r>
    </w:p>
    <w:p w:rsidR="00AB79AA" w:rsidRDefault="00AB79AA" w:rsidP="00AB79AA">
      <w:pPr>
        <w:pStyle w:val="BTEMEASMCA"/>
        <w:rPr>
          <w:noProof w:val="0"/>
        </w:rPr>
      </w:pPr>
    </w:p>
    <w:p w:rsidR="00AB79AA" w:rsidRDefault="00AB79AA" w:rsidP="00AB79AA">
      <w:pPr>
        <w:pStyle w:val="BTEMEASMCA"/>
        <w:rPr>
          <w:noProof w:val="0"/>
        </w:rPr>
      </w:pPr>
      <w:r>
        <w:rPr>
          <w:noProof w:val="0"/>
        </w:rPr>
        <w:t>Jeigu pasireiškė sunkus šalutinis poveikis arba pastebėjote šiame lapelyje nenurodytą šalutinį poveikį, pasakykite gydytojui arba vaistininkui.</w:t>
      </w:r>
    </w:p>
    <w:p w:rsidR="00AB79AA" w:rsidRDefault="00AB79AA" w:rsidP="00AB79AA">
      <w:pPr>
        <w:ind w:left="567" w:hanging="567"/>
      </w:pPr>
    </w:p>
    <w:p w:rsidR="00AB79AA" w:rsidRDefault="00AB79AA" w:rsidP="00AB79AA">
      <w:pPr>
        <w:ind w:left="567" w:hanging="567"/>
      </w:pPr>
    </w:p>
    <w:p w:rsidR="00AB79AA" w:rsidRDefault="00AB79AA" w:rsidP="00AB79AA">
      <w:pPr>
        <w:numPr>
          <w:ilvl w:val="12"/>
          <w:numId w:val="0"/>
        </w:numPr>
        <w:ind w:left="567" w:hanging="567"/>
        <w:outlineLvl w:val="0"/>
        <w:rPr>
          <w:b/>
          <w:caps/>
        </w:rPr>
      </w:pPr>
      <w:r>
        <w:rPr>
          <w:b/>
          <w:caps/>
        </w:rPr>
        <w:t>5.</w:t>
      </w:r>
      <w:r>
        <w:rPr>
          <w:b/>
          <w:caps/>
        </w:rPr>
        <w:tab/>
        <w:t>KAIP LAIKYTI AFLUBIN</w:t>
      </w:r>
    </w:p>
    <w:p w:rsidR="00AB79AA" w:rsidRDefault="00AB79AA" w:rsidP="00AB79AA"/>
    <w:p w:rsidR="00AB79AA" w:rsidRDefault="00AB79AA" w:rsidP="00AB79AA">
      <w:pPr>
        <w:rPr>
          <w:sz w:val="20"/>
        </w:rPr>
      </w:pPr>
      <w:r>
        <w:t>Laikyti vaikams nepasiekiamoje ir nepastebimoje vietoje.</w:t>
      </w:r>
    </w:p>
    <w:p w:rsidR="00AB79AA" w:rsidRDefault="00AB79AA" w:rsidP="00AB79AA"/>
    <w:p w:rsidR="00AB79AA" w:rsidRDefault="00AB79AA" w:rsidP="00AB79AA">
      <w:r>
        <w:t>Šiam vaistiniam preparatui specialių laikymo sąlygų nereikia.</w:t>
      </w:r>
    </w:p>
    <w:p w:rsidR="00AB79AA" w:rsidRDefault="00AB79AA" w:rsidP="00AB79AA"/>
    <w:p w:rsidR="00AB79AA" w:rsidRDefault="00AB79AA" w:rsidP="00AB79AA">
      <w:r>
        <w:t>Tinkamumo laikas pirmą kartą atidarius buteliuką – 6 mėnesiai.</w:t>
      </w:r>
    </w:p>
    <w:p w:rsidR="00AB79AA" w:rsidRDefault="00AB79AA" w:rsidP="00AB79AA">
      <w:pPr>
        <w:pStyle w:val="BodyText"/>
        <w:spacing w:after="0"/>
        <w:rPr>
          <w:szCs w:val="22"/>
        </w:rPr>
      </w:pPr>
    </w:p>
    <w:p w:rsidR="00AB79AA" w:rsidRDefault="00AB79AA" w:rsidP="00AB79AA">
      <w:r>
        <w:t>Kadangi AFLUBIN sudėtyje yra vaistažolių ir kitokių natūralių medžiagų, gali skirtis jo skonis ir kvapas, atsirasti neryškus padrumstėjimas. Vaisto veiksmingumui tai įtakos neturi.</w:t>
      </w:r>
    </w:p>
    <w:p w:rsidR="00AB79AA" w:rsidRDefault="00AB79AA" w:rsidP="00AB79AA">
      <w:pPr>
        <w:pStyle w:val="BodyText"/>
        <w:spacing w:after="0"/>
      </w:pPr>
    </w:p>
    <w:p w:rsidR="00AB79AA" w:rsidRDefault="00AB79AA" w:rsidP="00AB79AA">
      <w:pPr>
        <w:pStyle w:val="BodyText"/>
        <w:spacing w:after="0"/>
        <w:rPr>
          <w:color w:val="000000"/>
          <w:szCs w:val="22"/>
        </w:rPr>
      </w:pPr>
      <w:r>
        <w:t xml:space="preserve">Ant dėžutės ir buteliuko po „Tinka iki“ nurodytam tinkamumo laikui pasibaigus, </w:t>
      </w:r>
      <w:r>
        <w:rPr>
          <w:szCs w:val="22"/>
        </w:rPr>
        <w:t>AFLUBIN</w:t>
      </w:r>
      <w:r>
        <w:t xml:space="preserve"> vartoti negalima. Vaistas tinka vartoti iki paskutinės nurodyto mėnesio dienos.</w:t>
      </w:r>
    </w:p>
    <w:p w:rsidR="00AB79AA" w:rsidRDefault="00AB79AA" w:rsidP="00AB79AA"/>
    <w:p w:rsidR="00AB79AA" w:rsidRDefault="00AB79AA" w:rsidP="00AB79AA">
      <w:pPr>
        <w:pStyle w:val="BTEMEASMCA"/>
        <w:rPr>
          <w:noProof w:val="0"/>
        </w:rPr>
      </w:pPr>
      <w:r>
        <w:rPr>
          <w:noProof w:val="0"/>
        </w:rPr>
        <w:t>Vaistų negalima išpilti į kanalizaciją arba išmesti su buitinėmis atliekomis. Kaip tvarkyti nereikalingus vaistus, klauskite vaistininko. Šios priemonės padės apsaugoti aplinką.</w:t>
      </w:r>
    </w:p>
    <w:p w:rsidR="00AB79AA" w:rsidRDefault="00AB79AA" w:rsidP="00AB79AA"/>
    <w:p w:rsidR="00AB79AA" w:rsidRDefault="00AB79AA" w:rsidP="00AB79AA"/>
    <w:p w:rsidR="00AB79AA" w:rsidRDefault="00AB79AA" w:rsidP="00AB79AA">
      <w:pPr>
        <w:numPr>
          <w:ilvl w:val="12"/>
          <w:numId w:val="0"/>
        </w:numPr>
        <w:ind w:left="567" w:hanging="567"/>
        <w:outlineLvl w:val="0"/>
        <w:rPr>
          <w:b/>
        </w:rPr>
      </w:pPr>
      <w:r>
        <w:rPr>
          <w:b/>
        </w:rPr>
        <w:t>6.</w:t>
      </w:r>
      <w:r>
        <w:tab/>
      </w:r>
      <w:r>
        <w:rPr>
          <w:b/>
        </w:rPr>
        <w:t>KITA INFORMACIJA</w:t>
      </w:r>
    </w:p>
    <w:p w:rsidR="00AB79AA" w:rsidRDefault="00AB79AA" w:rsidP="00AB79AA">
      <w:pPr>
        <w:numPr>
          <w:ilvl w:val="12"/>
          <w:numId w:val="0"/>
        </w:numPr>
        <w:ind w:left="567" w:hanging="567"/>
        <w:outlineLvl w:val="0"/>
        <w:rPr>
          <w:b/>
        </w:rPr>
      </w:pPr>
    </w:p>
    <w:p w:rsidR="00AB79AA" w:rsidRDefault="00AB79AA" w:rsidP="00AB79AA">
      <w:pPr>
        <w:numPr>
          <w:ilvl w:val="12"/>
          <w:numId w:val="0"/>
        </w:numPr>
        <w:ind w:left="567" w:hanging="567"/>
        <w:outlineLvl w:val="0"/>
        <w:rPr>
          <w:b/>
        </w:rPr>
      </w:pPr>
      <w:r>
        <w:rPr>
          <w:b/>
        </w:rPr>
        <w:t>AFLUBIN sudėtis</w:t>
      </w:r>
    </w:p>
    <w:p w:rsidR="00AB79AA" w:rsidRDefault="00AB79AA" w:rsidP="00AB79AA">
      <w:pPr>
        <w:numPr>
          <w:ilvl w:val="12"/>
          <w:numId w:val="0"/>
        </w:numPr>
        <w:ind w:left="567" w:hanging="567"/>
        <w:outlineLvl w:val="0"/>
        <w:rPr>
          <w:b/>
        </w:rPr>
      </w:pPr>
    </w:p>
    <w:p w:rsidR="00AB79AA" w:rsidRDefault="00AB79AA" w:rsidP="00AB79AA">
      <w:pPr>
        <w:ind w:left="567"/>
      </w:pPr>
      <w:r>
        <w:t>-</w:t>
      </w:r>
      <w:r>
        <w:tab/>
        <w:t xml:space="preserve"> Veikliosios medžiagos yra Gentiana lutea D1 0,01 ml, Aconitum napellus D6 0,1 ml, Bryonia D6</w:t>
      </w:r>
    </w:p>
    <w:p w:rsidR="00AB79AA" w:rsidRDefault="00AB79AA" w:rsidP="00AB79AA">
      <w:pPr>
        <w:ind w:left="567"/>
      </w:pPr>
      <w:r>
        <w:t xml:space="preserve"> 0,1 ml, Ferrum phosphoricum D12 0,1 ml, Acidum sarcolacticum D12 0,1 ml.</w:t>
      </w:r>
    </w:p>
    <w:p w:rsidR="00AB79AA" w:rsidRDefault="00AB79AA" w:rsidP="00AB79AA">
      <w:pPr>
        <w:ind w:left="567"/>
      </w:pPr>
      <w:r>
        <w:rPr>
          <w:b/>
        </w:rPr>
        <w:t>-</w:t>
      </w:r>
      <w:r>
        <w:rPr>
          <w:b/>
        </w:rPr>
        <w:tab/>
        <w:t xml:space="preserve"> </w:t>
      </w:r>
      <w:r>
        <w:t>Pagalbinės medžiagos yra etanolis (96 %), išgrynintas vanduo.</w:t>
      </w:r>
    </w:p>
    <w:p w:rsidR="00AB79AA" w:rsidRDefault="00AB79AA" w:rsidP="00AB79AA">
      <w:pPr>
        <w:ind w:left="567" w:hanging="567"/>
      </w:pPr>
    </w:p>
    <w:p w:rsidR="00AB79AA" w:rsidRDefault="00AB79AA" w:rsidP="00AB79AA">
      <w:pPr>
        <w:rPr>
          <w:b/>
        </w:rPr>
      </w:pPr>
      <w:r>
        <w:rPr>
          <w:b/>
        </w:rPr>
        <w:t>AFLUBIN išvaizda ir kiekis pakuotėje:</w:t>
      </w:r>
    </w:p>
    <w:p w:rsidR="00AB79AA" w:rsidRDefault="00AB79AA" w:rsidP="00AB79AA">
      <w:r>
        <w:t>Bespalvis ar šiek tiek gelsvas tirpalas.</w:t>
      </w:r>
    </w:p>
    <w:p w:rsidR="00AB79AA" w:rsidRDefault="00AB79AA" w:rsidP="00AB79AA">
      <w:r>
        <w:t xml:space="preserve">20 ml, 50 ml, 100 ml tirpalo buteliukuose su užsukamu dangteliu ir pridedamu lašintuvu, patalpinti kartoninėje dėžutėje. </w:t>
      </w:r>
      <w:r>
        <w:rPr>
          <w:noProof/>
        </w:rPr>
        <w:t>Gali būti tiekiamos ne visų dydžių pakuotės.</w:t>
      </w:r>
    </w:p>
    <w:p w:rsidR="00AB79AA" w:rsidRDefault="00AB79AA" w:rsidP="00AB79AA">
      <w:pPr>
        <w:ind w:left="567" w:hanging="567"/>
      </w:pPr>
    </w:p>
    <w:p w:rsidR="00AB79AA" w:rsidRDefault="00AB79AA" w:rsidP="00AB79AA">
      <w:pPr>
        <w:ind w:left="567" w:hanging="567"/>
        <w:rPr>
          <w:b/>
        </w:rPr>
      </w:pPr>
      <w:r>
        <w:rPr>
          <w:b/>
        </w:rPr>
        <w:t>Rinkodaros teisės turėtojas</w:t>
      </w:r>
    </w:p>
    <w:p w:rsidR="00AB79AA" w:rsidRDefault="00AB79AA" w:rsidP="00AB79AA">
      <w:pPr>
        <w:rPr>
          <w:lang w:val="de-DE"/>
        </w:rPr>
      </w:pPr>
      <w:r>
        <w:rPr>
          <w:lang w:val="de-DE"/>
        </w:rPr>
        <w:t>Richard Bittner AG</w:t>
      </w:r>
    </w:p>
    <w:p w:rsidR="00AB79AA" w:rsidRDefault="00AB79AA" w:rsidP="00AB79AA">
      <w:pPr>
        <w:rPr>
          <w:bCs/>
        </w:rPr>
      </w:pPr>
      <w:r>
        <w:rPr>
          <w:bCs/>
        </w:rPr>
        <w:t>Reisnerstra</w:t>
      </w:r>
      <w:r>
        <w:rPr>
          <w:bCs/>
          <w:lang w:val="en-GB"/>
        </w:rPr>
        <w:t>β</w:t>
      </w:r>
      <w:r>
        <w:rPr>
          <w:bCs/>
        </w:rPr>
        <w:t>e 55-57</w:t>
      </w:r>
    </w:p>
    <w:p w:rsidR="00AB79AA" w:rsidRDefault="00AB79AA" w:rsidP="00AB79AA">
      <w:pPr>
        <w:rPr>
          <w:bCs/>
          <w:lang w:val="es-ES"/>
        </w:rPr>
      </w:pPr>
      <w:r>
        <w:rPr>
          <w:bCs/>
          <w:lang w:val="es-ES"/>
        </w:rPr>
        <w:t>A-1030 Vienna</w:t>
      </w:r>
    </w:p>
    <w:p w:rsidR="00AB79AA" w:rsidRDefault="00AB79AA" w:rsidP="00AB79AA">
      <w:pPr>
        <w:rPr>
          <w:bCs/>
          <w:lang w:val="es-ES"/>
        </w:rPr>
      </w:pPr>
      <w:r>
        <w:rPr>
          <w:bCs/>
          <w:lang w:val="es-ES"/>
        </w:rPr>
        <w:t>Austrija</w:t>
      </w:r>
    </w:p>
    <w:p w:rsidR="00AB79AA" w:rsidRDefault="00AB79AA" w:rsidP="00AB79AA">
      <w:pPr>
        <w:rPr>
          <w:lang w:val="es-ES"/>
        </w:rPr>
      </w:pPr>
      <w:r>
        <w:rPr>
          <w:lang w:val="es-ES"/>
        </w:rPr>
        <w:t>Tel.</w:t>
      </w:r>
      <w:r>
        <w:t xml:space="preserve"> +43/(0)1-50 30 972</w:t>
      </w:r>
    </w:p>
    <w:p w:rsidR="00AB79AA" w:rsidRDefault="00AB79AA" w:rsidP="00AB79AA">
      <w:pPr>
        <w:ind w:left="709" w:hanging="709"/>
        <w:jc w:val="both"/>
      </w:pPr>
      <w:r>
        <w:t>Faksas +43/(0)1-50 30 972-40</w:t>
      </w:r>
    </w:p>
    <w:p w:rsidR="00AB79AA" w:rsidRDefault="00AB79AA" w:rsidP="00AB79AA">
      <w:r>
        <w:t xml:space="preserve">el. paštas </w:t>
      </w:r>
      <w:hyperlink r:id="rId5" w:history="1">
        <w:r>
          <w:rPr>
            <w:rStyle w:val="Hyperlink"/>
          </w:rPr>
          <w:t>office.vienna@richard-bittner.com</w:t>
        </w:r>
      </w:hyperlink>
    </w:p>
    <w:p w:rsidR="00AB79AA" w:rsidRDefault="00AB79AA" w:rsidP="00AB79AA">
      <w:pPr>
        <w:ind w:left="567" w:hanging="567"/>
      </w:pPr>
    </w:p>
    <w:p w:rsidR="00AB79AA" w:rsidRDefault="00AB79AA" w:rsidP="00AB79AA">
      <w:pPr>
        <w:ind w:left="567" w:hanging="567"/>
        <w:rPr>
          <w:b/>
        </w:rPr>
      </w:pPr>
      <w:r>
        <w:rPr>
          <w:b/>
        </w:rPr>
        <w:t>Gamintojas</w:t>
      </w:r>
    </w:p>
    <w:p w:rsidR="00AB79AA" w:rsidRDefault="00AB79AA" w:rsidP="00AB79AA">
      <w:pPr>
        <w:ind w:left="567" w:hanging="567"/>
      </w:pPr>
      <w:r>
        <w:t>Richard Bittner AG</w:t>
      </w:r>
    </w:p>
    <w:p w:rsidR="00AB79AA" w:rsidRDefault="00AB79AA" w:rsidP="00AB79AA">
      <w:pPr>
        <w:ind w:left="567" w:hanging="567"/>
      </w:pPr>
      <w:r>
        <w:t>Ossiacherstrasse 7</w:t>
      </w:r>
    </w:p>
    <w:p w:rsidR="00AB79AA" w:rsidRDefault="00AB79AA" w:rsidP="00AB79AA">
      <w:pPr>
        <w:ind w:left="567" w:hanging="567"/>
      </w:pPr>
      <w:r>
        <w:t>A-9560 Feldkirchen</w:t>
      </w:r>
    </w:p>
    <w:p w:rsidR="00AB79AA" w:rsidRDefault="00AB79AA" w:rsidP="00AB79AA">
      <w:pPr>
        <w:ind w:left="567" w:hanging="567"/>
      </w:pPr>
      <w:r>
        <w:t>Austrija</w:t>
      </w:r>
    </w:p>
    <w:p w:rsidR="00AB79AA" w:rsidRDefault="00AB79AA" w:rsidP="00AB79AA">
      <w:pPr>
        <w:ind w:left="709" w:hanging="709"/>
        <w:jc w:val="both"/>
      </w:pPr>
      <w:r>
        <w:t>Tel. +43/(0)4276-37888-0</w:t>
      </w:r>
    </w:p>
    <w:p w:rsidR="00AB79AA" w:rsidRDefault="00AB79AA" w:rsidP="00AB79AA">
      <w:pPr>
        <w:jc w:val="both"/>
      </w:pPr>
      <w:r>
        <w:t>Faksas +43(0)4276-37131</w:t>
      </w:r>
    </w:p>
    <w:p w:rsidR="00AB79AA" w:rsidRDefault="00AB79AA" w:rsidP="00AB79AA">
      <w:pPr>
        <w:jc w:val="both"/>
      </w:pPr>
      <w:r>
        <w:t xml:space="preserve">el. paštas </w:t>
      </w:r>
      <w:hyperlink r:id="rId6" w:history="1">
        <w:r>
          <w:rPr>
            <w:rStyle w:val="Hyperlink"/>
          </w:rPr>
          <w:t>office.vienna@richard-bittner.com</w:t>
        </w:r>
      </w:hyperlink>
    </w:p>
    <w:p w:rsidR="00AB79AA" w:rsidRDefault="00AB79AA" w:rsidP="00AB79AA">
      <w:pPr>
        <w:pStyle w:val="BodyText"/>
        <w:spacing w:after="0"/>
      </w:pPr>
    </w:p>
    <w:p w:rsidR="00AB79AA" w:rsidRDefault="00AB79AA" w:rsidP="00AB79AA">
      <w:pPr>
        <w:pStyle w:val="BTEMEASMCA"/>
        <w:rPr>
          <w:noProof w:val="0"/>
        </w:rPr>
      </w:pPr>
      <w:r>
        <w:rPr>
          <w:noProof w:val="0"/>
        </w:rPr>
        <w:t>Jeigu apie šį vaistą norite sužinoti daugiau, kreipkitės į vietinį rinkodaros teisės turėtojo atstovą.</w:t>
      </w:r>
    </w:p>
    <w:p w:rsidR="00AB79AA" w:rsidRDefault="00AB79AA" w:rsidP="00AB79AA">
      <w:pPr>
        <w:ind w:left="567" w:hanging="567"/>
      </w:pPr>
    </w:p>
    <w:p w:rsidR="00AB79AA" w:rsidRDefault="00AB79AA" w:rsidP="00AB79AA">
      <w:r>
        <w:t>SIA Omega Pharma Baltics                                                                     </w:t>
      </w:r>
    </w:p>
    <w:p w:rsidR="00AB79AA" w:rsidRDefault="00AB79AA" w:rsidP="00AB79AA">
      <w:r>
        <w:t>K.Ulmana 119, Marupe                                                 </w:t>
      </w:r>
    </w:p>
    <w:p w:rsidR="00AB79AA" w:rsidRDefault="00AB79AA" w:rsidP="00AB79AA">
      <w:r>
        <w:t>LV-1004 Riga                                                                           </w:t>
      </w:r>
    </w:p>
    <w:p w:rsidR="00AB79AA" w:rsidRDefault="00AB79AA" w:rsidP="00AB79AA">
      <w:r>
        <w:t>Latvija            </w:t>
      </w:r>
    </w:p>
    <w:p w:rsidR="00AB79AA" w:rsidRDefault="00AB79AA" w:rsidP="00AB79AA">
      <w:r>
        <w:t>Tel. +371 67 103 144</w:t>
      </w:r>
    </w:p>
    <w:p w:rsidR="00AB79AA" w:rsidRDefault="00AB79AA" w:rsidP="00AB79AA">
      <w:r>
        <w:t>Faksas +371 67 103 143</w:t>
      </w:r>
    </w:p>
    <w:p w:rsidR="00AB79AA" w:rsidRDefault="00AB79AA" w:rsidP="00AB79AA"/>
    <w:p w:rsidR="00AB79AA" w:rsidRDefault="00AB79AA" w:rsidP="00AB79AA">
      <w:pPr>
        <w:jc w:val="both"/>
      </w:pPr>
    </w:p>
    <w:p w:rsidR="00AB79AA" w:rsidRDefault="00AB79AA" w:rsidP="00AB79AA">
      <w:pPr>
        <w:rPr>
          <w:b/>
        </w:rPr>
      </w:pPr>
      <w:r>
        <w:rPr>
          <w:b/>
          <w:bCs/>
        </w:rPr>
        <w:t xml:space="preserve">Šis pakuotės </w:t>
      </w:r>
      <w:r>
        <w:rPr>
          <w:b/>
        </w:rPr>
        <w:t>lapelis paskutinį kartą patvirtintas 2011-09-07.</w:t>
      </w:r>
    </w:p>
    <w:p w:rsidR="00AB79AA" w:rsidRDefault="00AB79AA" w:rsidP="00AB79AA"/>
    <w:p w:rsidR="00AB79AA" w:rsidRDefault="00AB79AA" w:rsidP="00AB79AA"/>
    <w:p w:rsidR="00AB79AA" w:rsidRDefault="00AB79AA" w:rsidP="00AB79AA">
      <w:r>
        <w:t xml:space="preserve">Naujausia pakuotės lapelio redakcija pateikiama Valstybinės vaistų kontrolės tarnybos prie Lietuvos Respublikos sveikatos apsaugos ministerijos (VVKT) interneto svetainėje </w:t>
      </w:r>
      <w:hyperlink r:id="rId7" w:history="1">
        <w:r>
          <w:rPr>
            <w:rStyle w:val="Hyperlink"/>
          </w:rPr>
          <w:t>http://www.vvkt.lt/</w:t>
        </w:r>
      </w:hyperlink>
    </w:p>
    <w:p w:rsidR="00AB79AA" w:rsidRDefault="00AB79AA"/>
    <w:sectPr w:rsidR="00AB79AA">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02CEA"/>
    <w:multiLevelType w:val="hybridMultilevel"/>
    <w:tmpl w:val="25B02EFC"/>
    <w:lvl w:ilvl="0" w:tplc="C100AFCE">
      <w:start w:val="1"/>
      <w:numFmt w:val="bullet"/>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2D0DE6"/>
    <w:multiLevelType w:val="hybridMultilevel"/>
    <w:tmpl w:val="EC26F5CC"/>
    <w:lvl w:ilvl="0" w:tplc="B1C8DFAA">
      <w:start w:val="1"/>
      <w:numFmt w:val="bullet"/>
      <w:lvlText w:val="-"/>
      <w:lvlJc w:val="left"/>
      <w:pPr>
        <w:tabs>
          <w:tab w:val="num" w:pos="720"/>
        </w:tabs>
        <w:ind w:left="720" w:hanging="36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AA"/>
    <w:rsid w:val="00AB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D96F8-FFC4-48F5-B061-94C0603B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semiHidden/>
    <w:unhideWhenUsed/>
    <w:qFormat/>
    <w:rsid w:val="00AB79AA"/>
    <w:pPr>
      <w:keepNext/>
      <w:spacing w:after="0" w:line="240" w:lineRule="auto"/>
      <w:outlineLvl w:val="2"/>
    </w:pPr>
    <w:rPr>
      <w:rFonts w:ascii="Times New Roman" w:eastAsia="Times New Roman" w:hAnsi="Times New Roman" w:cs="Times New Roman"/>
      <w:b/>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B79AA"/>
    <w:rPr>
      <w:rFonts w:ascii="Times New Roman" w:eastAsia="Times New Roman" w:hAnsi="Times New Roman" w:cs="Times New Roman"/>
      <w:b/>
      <w:szCs w:val="20"/>
      <w:lang w:val="lt-LT" w:eastAsia="lt-LT"/>
    </w:rPr>
  </w:style>
  <w:style w:type="character" w:styleId="Hyperlink">
    <w:name w:val="Hyperlink"/>
    <w:basedOn w:val="DefaultParagraphFont"/>
    <w:semiHidden/>
    <w:unhideWhenUsed/>
    <w:rsid w:val="00AB79AA"/>
    <w:rPr>
      <w:color w:val="0000FF"/>
      <w:u w:val="single"/>
    </w:rPr>
  </w:style>
  <w:style w:type="paragraph" w:styleId="BodyText">
    <w:name w:val="Body Text"/>
    <w:basedOn w:val="Normal"/>
    <w:link w:val="BodyTextChar"/>
    <w:semiHidden/>
    <w:unhideWhenUsed/>
    <w:rsid w:val="00AB79AA"/>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semiHidden/>
    <w:rsid w:val="00AB79AA"/>
    <w:rPr>
      <w:rFonts w:ascii="Times New Roman" w:eastAsia="Times New Roman" w:hAnsi="Times New Roman" w:cs="Times New Roman"/>
      <w:szCs w:val="20"/>
      <w:lang w:val="lt-LT" w:eastAsia="lt-LT"/>
    </w:rPr>
  </w:style>
  <w:style w:type="character" w:customStyle="1" w:styleId="BTEMEASMCAChar">
    <w:name w:val="BT EMEA_SMCA Char"/>
    <w:basedOn w:val="DefaultParagraphFont"/>
    <w:link w:val="BTEMEASMCA"/>
    <w:locked/>
    <w:rsid w:val="00AB79AA"/>
    <w:rPr>
      <w:rFonts w:ascii="Times New Roman" w:eastAsia="Times New Roman" w:hAnsi="Times New Roman" w:cs="Times New Roman"/>
      <w:noProof/>
    </w:rPr>
  </w:style>
  <w:style w:type="paragraph" w:customStyle="1" w:styleId="BTEMEASMCA">
    <w:name w:val="BT EMEA_SMCA"/>
    <w:basedOn w:val="Normal"/>
    <w:link w:val="BTEMEASMCAChar"/>
    <w:autoRedefine/>
    <w:rsid w:val="00AB79AA"/>
    <w:pPr>
      <w:spacing w:after="0" w:line="240" w:lineRule="auto"/>
    </w:pPr>
    <w:rPr>
      <w:rFonts w:ascii="Times New Roman" w:eastAsia="Times New Roman" w:hAnsi="Times New Roman" w:cs="Times New Roman"/>
      <w:noProof/>
    </w:rPr>
  </w:style>
  <w:style w:type="paragraph" w:customStyle="1" w:styleId="BT-EMEASMCA">
    <w:name w:val="BT- EMEA_SMCA"/>
    <w:basedOn w:val="BTEMEASMCA"/>
    <w:autoRedefine/>
    <w:rsid w:val="00AB79AA"/>
    <w:pPr>
      <w:numPr>
        <w:numId w:val="1"/>
      </w:numPr>
      <w:tabs>
        <w:tab w:val="clear" w:pos="720"/>
        <w:tab w:val="num" w:pos="360"/>
      </w:tabs>
      <w:ind w:left="0" w:firstLine="0"/>
    </w:pPr>
  </w:style>
  <w:style w:type="paragraph" w:customStyle="1" w:styleId="BTbEMEASMCA">
    <w:name w:val="BT(b) EMEA_SMCA"/>
    <w:basedOn w:val="BTEMEASMCA"/>
    <w:autoRedefine/>
    <w:rsid w:val="00AB79AA"/>
    <w:rPr>
      <w:b/>
      <w:noProof w:val="0"/>
      <w:u w:val="single"/>
    </w:rPr>
  </w:style>
  <w:style w:type="paragraph" w:customStyle="1" w:styleId="PI-3EMEASMCA">
    <w:name w:val="PI-3 EMEA_SMCA"/>
    <w:basedOn w:val="Normal"/>
    <w:autoRedefine/>
    <w:rsid w:val="00AB79AA"/>
    <w:pPr>
      <w:spacing w:after="0" w:line="220" w:lineRule="exact"/>
    </w:pPr>
    <w:rPr>
      <w:rFonts w:ascii="Times New Roman" w:eastAsia="Times New Roman" w:hAnsi="Times New Roman" w:cs="Times New Roman"/>
      <w:b/>
      <w:bCs/>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vienna@richard-bittner.com" TargetMode="External"/><Relationship Id="rId5" Type="http://schemas.openxmlformats.org/officeDocument/2006/relationships/hyperlink" Target="mailto:office.vienna@richard-bittn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1118</Words>
  <Characters>6379</Characters>
  <Application>Microsoft Office Word</Application>
  <DocSecurity>0</DocSecurity>
  <Lines>53</Lines>
  <Paragraphs>14</Paragraphs>
  <ScaleCrop>false</ScaleCrop>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2021-02-19T12:37:00Z</dcterms:created>
  <dcterms:modified xsi:type="dcterms:W3CDTF">2021-02-19T12:37:00Z</dcterms:modified>
</cp:coreProperties>
</file>