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4CD4" w:rsidRPr="00D011C8" w:rsidRDefault="003F4CD4" w:rsidP="003F4CD4">
      <w:pPr>
        <w:pStyle w:val="TTEMEASMCA"/>
      </w:pPr>
      <w:bookmarkStart w:id="0" w:name="_Toc129243138"/>
      <w:bookmarkStart w:id="1" w:name="_Toc129243263"/>
      <w:r w:rsidRPr="00D011C8">
        <w:t>Pakuotės lapelis: informacija vartotojui</w:t>
      </w:r>
      <w:bookmarkEnd w:id="0"/>
      <w:bookmarkEnd w:id="1"/>
    </w:p>
    <w:p w:rsidR="003F4CD4" w:rsidRPr="00D011C8" w:rsidRDefault="003F4CD4" w:rsidP="003F4CD4">
      <w:pPr>
        <w:pStyle w:val="BTEMEASMCA"/>
      </w:pPr>
    </w:p>
    <w:p w:rsidR="003F4CD4" w:rsidRPr="00D011C8" w:rsidRDefault="003F4CD4" w:rsidP="003F4CD4">
      <w:pPr>
        <w:pStyle w:val="BodyText"/>
        <w:spacing w:after="0"/>
        <w:jc w:val="center"/>
        <w:rPr>
          <w:b/>
          <w:szCs w:val="22"/>
        </w:rPr>
      </w:pPr>
      <w:r w:rsidRPr="00D011C8">
        <w:rPr>
          <w:b/>
          <w:szCs w:val="22"/>
        </w:rPr>
        <w:t>Rub-Arom tepalas</w:t>
      </w:r>
    </w:p>
    <w:p w:rsidR="003F4CD4" w:rsidRPr="00D011C8" w:rsidRDefault="003F4CD4" w:rsidP="003F4CD4">
      <w:pPr>
        <w:pStyle w:val="BodyText"/>
        <w:spacing w:after="0"/>
        <w:jc w:val="center"/>
        <w:rPr>
          <w:szCs w:val="22"/>
        </w:rPr>
      </w:pPr>
      <w:r w:rsidRPr="00D011C8">
        <w:rPr>
          <w:szCs w:val="22"/>
        </w:rPr>
        <w:t>Terpentino eterinis aliejus iš pajūrinių pušų, raceminis kamparas, levomentolis, eukaliptų eterinis aliejus, kedrų eterinis aliejus, timolis</w:t>
      </w:r>
    </w:p>
    <w:p w:rsidR="003F4CD4" w:rsidRPr="00D011C8" w:rsidRDefault="003F4CD4" w:rsidP="003F4CD4">
      <w:pPr>
        <w:pStyle w:val="BTEMEASMCA"/>
      </w:pPr>
    </w:p>
    <w:p w:rsidR="003F4CD4" w:rsidRPr="00D011C8" w:rsidRDefault="003F4CD4" w:rsidP="003F4CD4">
      <w:pPr>
        <w:pStyle w:val="BTbEMEASMCA"/>
      </w:pPr>
      <w:r w:rsidRPr="00D011C8">
        <w:t>Atidžiai perskaitykite visą šį lapelį, prieš pradėdami vartoti šį vaistą, nes jame pateikiama Jums svarbi informacija.</w:t>
      </w:r>
    </w:p>
    <w:p w:rsidR="003F4CD4" w:rsidRPr="00047036" w:rsidRDefault="003F4CD4" w:rsidP="003F4CD4">
      <w:pPr>
        <w:numPr>
          <w:ilvl w:val="12"/>
          <w:numId w:val="0"/>
        </w:numPr>
        <w:rPr>
          <w:snapToGrid w:val="0"/>
        </w:rPr>
      </w:pPr>
      <w:r w:rsidRPr="00A11745">
        <w:rPr>
          <w:noProof/>
          <w:snapToGrid w:val="0"/>
        </w:rPr>
        <w:t>Visada vartokite šį vaistą tiksliai kaip aprašyta šiame lapelyje arba kaip nurodė gydytojas arba vaistininkas</w:t>
      </w:r>
    </w:p>
    <w:p w:rsidR="003F4CD4" w:rsidRPr="00D011C8" w:rsidRDefault="003F4CD4" w:rsidP="003F4CD4">
      <w:pPr>
        <w:pStyle w:val="BT-EMEASMCA"/>
        <w:tabs>
          <w:tab w:val="clear" w:pos="720"/>
          <w:tab w:val="num" w:pos="426"/>
        </w:tabs>
        <w:ind w:left="426" w:hanging="426"/>
      </w:pPr>
      <w:r w:rsidRPr="00D011C8">
        <w:t>Neišmeskite šio lapelio, nes vėl gali prireikti jį perskaityti.</w:t>
      </w:r>
    </w:p>
    <w:p w:rsidR="003F4CD4" w:rsidRPr="00D011C8" w:rsidRDefault="003F4CD4" w:rsidP="003F4CD4">
      <w:pPr>
        <w:pStyle w:val="BT-EMEASMCA"/>
        <w:tabs>
          <w:tab w:val="clear" w:pos="720"/>
          <w:tab w:val="num" w:pos="426"/>
        </w:tabs>
        <w:ind w:left="426" w:hanging="426"/>
      </w:pPr>
      <w:r w:rsidRPr="00D011C8">
        <w:t>Jeigu norite sužinoti daugiau arba pasitarti, kreipkitės į vaistininką.</w:t>
      </w:r>
    </w:p>
    <w:p w:rsidR="003F4CD4" w:rsidRDefault="003F4CD4" w:rsidP="003F4CD4">
      <w:pPr>
        <w:pStyle w:val="BT-EMEASMCA"/>
        <w:tabs>
          <w:tab w:val="clear" w:pos="720"/>
          <w:tab w:val="num" w:pos="426"/>
        </w:tabs>
        <w:ind w:left="426" w:hanging="426"/>
      </w:pPr>
      <w:r w:rsidRPr="00D011C8">
        <w:t>Jeigu pasireiškė šalutinis poveikis (net jeigu jis šiame lapelyje nenurodytas), kreipkitės į gydytoją arba vaistininką.</w:t>
      </w:r>
    </w:p>
    <w:p w:rsidR="003F4CD4" w:rsidRPr="00D011C8" w:rsidRDefault="003F4CD4" w:rsidP="003F4CD4">
      <w:pPr>
        <w:pStyle w:val="BT-EMEASMCA"/>
        <w:tabs>
          <w:tab w:val="clear" w:pos="720"/>
          <w:tab w:val="num" w:pos="426"/>
        </w:tabs>
        <w:ind w:left="426" w:hanging="426"/>
      </w:pPr>
      <w:r w:rsidRPr="00D011C8">
        <w:t>Jeigu per 7</w:t>
      </w:r>
      <w:r w:rsidRPr="00AE2A19">
        <w:t xml:space="preserve"> </w:t>
      </w:r>
      <w:r w:rsidRPr="00D011C8">
        <w:t>dienas Jūsų savijauta nepagerėjo arba net pablogėjo, kreipkitės į gydytoją.</w:t>
      </w:r>
    </w:p>
    <w:p w:rsidR="003F4CD4" w:rsidRPr="00D011C8" w:rsidRDefault="003F4CD4" w:rsidP="003F4CD4">
      <w:pPr>
        <w:pStyle w:val="BTEMEASMCA"/>
        <w:tabs>
          <w:tab w:val="num" w:pos="426"/>
        </w:tabs>
        <w:ind w:left="426" w:hanging="426"/>
      </w:pPr>
    </w:p>
    <w:p w:rsidR="003F4CD4" w:rsidRPr="00D011C8" w:rsidRDefault="003F4CD4" w:rsidP="003F4CD4">
      <w:pPr>
        <w:pStyle w:val="BTEMEASMCA"/>
        <w:tabs>
          <w:tab w:val="num" w:pos="426"/>
        </w:tabs>
        <w:ind w:left="426" w:hanging="426"/>
      </w:pPr>
    </w:p>
    <w:p w:rsidR="003F4CD4" w:rsidRPr="00D011C8" w:rsidRDefault="003F4CD4" w:rsidP="003F4CD4">
      <w:pPr>
        <w:pStyle w:val="BTbEMEASMCA"/>
      </w:pPr>
      <w:r w:rsidRPr="00D011C8">
        <w:t>Apie ką rašoma šiame lapelyje?</w:t>
      </w:r>
    </w:p>
    <w:p w:rsidR="003F4CD4" w:rsidRPr="00D011C8" w:rsidRDefault="003F4CD4" w:rsidP="003F4CD4">
      <w:pPr>
        <w:pStyle w:val="BTbEMEASMCA"/>
      </w:pPr>
    </w:p>
    <w:p w:rsidR="003F4CD4" w:rsidRPr="00D011C8" w:rsidRDefault="003F4CD4" w:rsidP="003F4CD4">
      <w:pPr>
        <w:pStyle w:val="BTEMEASMCA"/>
        <w:ind w:left="567" w:hanging="567"/>
      </w:pPr>
      <w:r w:rsidRPr="00D011C8">
        <w:t>1.</w:t>
      </w:r>
      <w:r w:rsidRPr="00D011C8">
        <w:tab/>
        <w:t>Kas yra Rub-Arom</w:t>
      </w:r>
      <w:r w:rsidRPr="00D011C8" w:rsidDel="00D6652C">
        <w:t xml:space="preserve"> </w:t>
      </w:r>
      <w:r w:rsidRPr="00D011C8">
        <w:t>ir kam jis vartojamas</w:t>
      </w:r>
    </w:p>
    <w:p w:rsidR="003F4CD4" w:rsidRPr="00D011C8" w:rsidRDefault="003F4CD4" w:rsidP="003F4CD4">
      <w:pPr>
        <w:pStyle w:val="BTEMEASMCA"/>
        <w:ind w:left="567" w:hanging="567"/>
      </w:pPr>
      <w:r w:rsidRPr="00D011C8">
        <w:t>2.</w:t>
      </w:r>
      <w:r w:rsidRPr="00D011C8">
        <w:tab/>
        <w:t>Kas žinotina prieš vartojant Rub-Arom</w:t>
      </w:r>
    </w:p>
    <w:p w:rsidR="003F4CD4" w:rsidRPr="00D011C8" w:rsidRDefault="003F4CD4" w:rsidP="003F4CD4">
      <w:pPr>
        <w:pStyle w:val="BTEMEASMCA"/>
        <w:ind w:left="567" w:hanging="567"/>
      </w:pPr>
      <w:r w:rsidRPr="00D011C8">
        <w:t>3.</w:t>
      </w:r>
      <w:r w:rsidRPr="00D011C8">
        <w:tab/>
        <w:t>Kaip vartoti Rub-Arom</w:t>
      </w:r>
    </w:p>
    <w:p w:rsidR="003F4CD4" w:rsidRPr="00D011C8" w:rsidRDefault="003F4CD4" w:rsidP="003F4CD4">
      <w:pPr>
        <w:pStyle w:val="BTEMEASMCA"/>
        <w:ind w:left="567" w:hanging="567"/>
      </w:pPr>
      <w:r w:rsidRPr="00D011C8">
        <w:t>4.</w:t>
      </w:r>
      <w:r w:rsidRPr="00D011C8">
        <w:tab/>
        <w:t>Galimas šalutinis poveikis</w:t>
      </w:r>
    </w:p>
    <w:p w:rsidR="003F4CD4" w:rsidRPr="00D011C8" w:rsidRDefault="003F4CD4" w:rsidP="003F4CD4">
      <w:pPr>
        <w:pStyle w:val="BTEMEASMCA"/>
        <w:ind w:left="567" w:hanging="567"/>
      </w:pPr>
      <w:r w:rsidRPr="00D011C8">
        <w:t>5.</w:t>
      </w:r>
      <w:r w:rsidRPr="00D011C8">
        <w:tab/>
        <w:t>Kaip laikyti Rub-Arom</w:t>
      </w:r>
    </w:p>
    <w:p w:rsidR="003F4CD4" w:rsidRPr="00D011C8" w:rsidRDefault="003F4CD4" w:rsidP="003F4CD4">
      <w:pPr>
        <w:pStyle w:val="BTEMEASMCA"/>
        <w:ind w:left="567" w:hanging="567"/>
      </w:pPr>
      <w:r w:rsidRPr="00D011C8">
        <w:t>6.</w:t>
      </w:r>
      <w:r w:rsidRPr="00D011C8">
        <w:tab/>
        <w:t>Pakuotės turinys ir kita informacija</w:t>
      </w:r>
    </w:p>
    <w:p w:rsidR="003F4CD4" w:rsidRPr="00D011C8" w:rsidRDefault="003F4CD4" w:rsidP="003F4CD4">
      <w:pPr>
        <w:pStyle w:val="BTEMEASMCA"/>
      </w:pPr>
    </w:p>
    <w:p w:rsidR="003F4CD4" w:rsidRPr="00D011C8" w:rsidRDefault="003F4CD4" w:rsidP="003F4CD4">
      <w:pPr>
        <w:pStyle w:val="BTEMEASMCA"/>
      </w:pPr>
    </w:p>
    <w:p w:rsidR="003F4CD4" w:rsidRPr="00D011C8" w:rsidRDefault="003F4CD4" w:rsidP="003F4CD4">
      <w:pPr>
        <w:keepNext/>
        <w:tabs>
          <w:tab w:val="left" w:pos="567"/>
        </w:tabs>
        <w:spacing w:line="260" w:lineRule="exact"/>
        <w:jc w:val="both"/>
        <w:outlineLvl w:val="3"/>
        <w:rPr>
          <w:rFonts w:eastAsia="SimSun"/>
          <w:b/>
        </w:rPr>
      </w:pPr>
      <w:bookmarkStart w:id="2" w:name="_Toc129243139"/>
      <w:bookmarkStart w:id="3" w:name="_Toc129243264"/>
      <w:r w:rsidRPr="00D011C8">
        <w:rPr>
          <w:rFonts w:eastAsia="SimSun"/>
          <w:b/>
        </w:rPr>
        <w:t>1.</w:t>
      </w:r>
      <w:r w:rsidRPr="00D011C8">
        <w:rPr>
          <w:rFonts w:eastAsia="SimSun"/>
          <w:b/>
        </w:rPr>
        <w:tab/>
        <w:t>Kas yra Rub-Arom ir kam jis vartojamas</w:t>
      </w:r>
    </w:p>
    <w:bookmarkEnd w:id="2"/>
    <w:bookmarkEnd w:id="3"/>
    <w:p w:rsidR="003F4CD4" w:rsidRPr="00D011C8" w:rsidRDefault="003F4CD4" w:rsidP="003F4CD4">
      <w:pPr>
        <w:pStyle w:val="PI-1EMEASMCA"/>
      </w:pPr>
    </w:p>
    <w:p w:rsidR="003F4CD4" w:rsidRPr="00D011C8" w:rsidRDefault="003F4CD4" w:rsidP="003F4CD4">
      <w:pPr>
        <w:pStyle w:val="BodyText2"/>
        <w:spacing w:line="240" w:lineRule="auto"/>
        <w:rPr>
          <w:sz w:val="22"/>
          <w:szCs w:val="22"/>
        </w:rPr>
      </w:pPr>
      <w:r w:rsidRPr="00D011C8">
        <w:rPr>
          <w:sz w:val="22"/>
          <w:szCs w:val="22"/>
        </w:rPr>
        <w:t>Įtrinant odą tepalu suaktyvinama poodinė kraujotaka, todėl, mažėja sąnarių, raumenų skausmas, malšinami peršalimo simptomai.</w:t>
      </w:r>
    </w:p>
    <w:p w:rsidR="003F4CD4" w:rsidRPr="00D011C8" w:rsidRDefault="003F4CD4" w:rsidP="003F4CD4">
      <w:pPr>
        <w:pStyle w:val="BodyText2"/>
        <w:spacing w:line="240" w:lineRule="auto"/>
        <w:rPr>
          <w:sz w:val="22"/>
          <w:szCs w:val="22"/>
        </w:rPr>
      </w:pPr>
      <w:r w:rsidRPr="00AE2A19">
        <w:rPr>
          <w:sz w:val="22"/>
          <w:szCs w:val="22"/>
        </w:rPr>
        <w:t>Jeigu per 7 dien</w:t>
      </w:r>
      <w:r w:rsidRPr="00D011C8">
        <w:rPr>
          <w:sz w:val="22"/>
          <w:szCs w:val="22"/>
        </w:rPr>
        <w:t>as</w:t>
      </w:r>
      <w:r w:rsidRPr="00AE2A19">
        <w:rPr>
          <w:sz w:val="22"/>
          <w:szCs w:val="22"/>
        </w:rPr>
        <w:t xml:space="preserve"> Jūsų savijauta nepagerėjo arba net pablogėjo, kreipkitės į gydytoją.</w:t>
      </w:r>
    </w:p>
    <w:p w:rsidR="003F4CD4" w:rsidRPr="00D011C8" w:rsidRDefault="003F4CD4" w:rsidP="003F4CD4">
      <w:pPr>
        <w:pStyle w:val="BodyText2"/>
        <w:spacing w:line="240" w:lineRule="auto"/>
        <w:rPr>
          <w:sz w:val="22"/>
          <w:szCs w:val="22"/>
        </w:rPr>
      </w:pPr>
    </w:p>
    <w:p w:rsidR="003F4CD4" w:rsidRDefault="003F4CD4" w:rsidP="003F4CD4">
      <w:pPr>
        <w:keepNext/>
        <w:tabs>
          <w:tab w:val="left" w:pos="567"/>
        </w:tabs>
        <w:spacing w:line="260" w:lineRule="exact"/>
        <w:jc w:val="both"/>
        <w:outlineLvl w:val="3"/>
        <w:rPr>
          <w:rFonts w:eastAsia="SimSun"/>
          <w:b/>
        </w:rPr>
      </w:pPr>
      <w:bookmarkStart w:id="4" w:name="_Toc129243140"/>
      <w:bookmarkStart w:id="5" w:name="_Toc129243265"/>
      <w:r w:rsidRPr="00D011C8">
        <w:rPr>
          <w:rFonts w:eastAsia="SimSun"/>
          <w:b/>
        </w:rPr>
        <w:t>2.</w:t>
      </w:r>
      <w:r w:rsidRPr="00D011C8">
        <w:rPr>
          <w:rFonts w:eastAsia="SimSun"/>
          <w:b/>
        </w:rPr>
        <w:tab/>
        <w:t xml:space="preserve">Kas žinotina prieš vartojant </w:t>
      </w:r>
      <w:bookmarkEnd w:id="4"/>
      <w:bookmarkEnd w:id="5"/>
      <w:r w:rsidRPr="00D011C8">
        <w:rPr>
          <w:rFonts w:eastAsia="SimSun"/>
          <w:b/>
        </w:rPr>
        <w:t>Rub-Arom</w:t>
      </w:r>
    </w:p>
    <w:p w:rsidR="003F4CD4" w:rsidRPr="00D011C8" w:rsidRDefault="003F4CD4" w:rsidP="003F4CD4">
      <w:pPr>
        <w:keepNext/>
        <w:tabs>
          <w:tab w:val="left" w:pos="567"/>
        </w:tabs>
        <w:spacing w:line="260" w:lineRule="exact"/>
        <w:jc w:val="both"/>
        <w:outlineLvl w:val="3"/>
        <w:rPr>
          <w:rFonts w:eastAsia="SimSun"/>
          <w:b/>
        </w:rPr>
      </w:pPr>
    </w:p>
    <w:p w:rsidR="003F4CD4" w:rsidRPr="00D011C8" w:rsidRDefault="003F4CD4" w:rsidP="003F4CD4">
      <w:pPr>
        <w:pStyle w:val="PI-3EMEASMCA"/>
      </w:pPr>
      <w:r w:rsidRPr="00D011C8">
        <w:t>RUB-AROM vartoti negalima:</w:t>
      </w:r>
    </w:p>
    <w:p w:rsidR="003F4CD4" w:rsidRPr="00D011C8" w:rsidRDefault="003F4CD4" w:rsidP="003F4CD4">
      <w:pPr>
        <w:pStyle w:val="BT-EMEASMCA"/>
        <w:tabs>
          <w:tab w:val="clear" w:pos="720"/>
          <w:tab w:val="num" w:pos="426"/>
        </w:tabs>
        <w:ind w:left="426" w:hanging="426"/>
      </w:pPr>
      <w:r w:rsidRPr="00D011C8">
        <w:t>jeigu yra alergija veikliajai arba bet kuriai pagalbinei šio vaisto medžiagai (jos išvardytos 6 skyriuje);</w:t>
      </w:r>
    </w:p>
    <w:p w:rsidR="003F4CD4" w:rsidRPr="00D011C8" w:rsidRDefault="003F4CD4" w:rsidP="003F4CD4">
      <w:pPr>
        <w:pStyle w:val="BT-EMEASMCA"/>
        <w:tabs>
          <w:tab w:val="clear" w:pos="720"/>
          <w:tab w:val="num" w:pos="426"/>
        </w:tabs>
        <w:ind w:left="426" w:hanging="426"/>
      </w:pPr>
      <w:r w:rsidRPr="00D011C8">
        <w:t>jeigu Jums yra kada nors buvę konvulsiniai priepuoliai, astma ar laringospazmai;</w:t>
      </w:r>
    </w:p>
    <w:p w:rsidR="003F4CD4" w:rsidRPr="00D011C8" w:rsidRDefault="003F4CD4" w:rsidP="003F4CD4">
      <w:pPr>
        <w:pStyle w:val="BT-EMEASMCA"/>
        <w:tabs>
          <w:tab w:val="clear" w:pos="720"/>
          <w:tab w:val="num" w:pos="426"/>
        </w:tabs>
        <w:ind w:left="426" w:hanging="426"/>
      </w:pPr>
      <w:r w:rsidRPr="00D011C8">
        <w:t>vaikams iki 7 metų.</w:t>
      </w:r>
    </w:p>
    <w:p w:rsidR="003F4CD4" w:rsidRPr="00D011C8" w:rsidRDefault="003F4CD4" w:rsidP="003F4CD4">
      <w:pPr>
        <w:pStyle w:val="BTEMEASMCA"/>
      </w:pPr>
    </w:p>
    <w:p w:rsidR="003F4CD4" w:rsidRDefault="003F4CD4" w:rsidP="003F4CD4">
      <w:pPr>
        <w:jc w:val="both"/>
        <w:rPr>
          <w:b/>
          <w:bCs/>
        </w:rPr>
      </w:pPr>
      <w:r w:rsidRPr="00D011C8">
        <w:rPr>
          <w:b/>
          <w:bCs/>
        </w:rPr>
        <w:t>Įspėjimai ir atsargumo priemonės</w:t>
      </w:r>
    </w:p>
    <w:p w:rsidR="003F4CD4" w:rsidRPr="00D011C8" w:rsidRDefault="003F4CD4" w:rsidP="003F4CD4">
      <w:pPr>
        <w:jc w:val="both"/>
      </w:pPr>
      <w:r w:rsidRPr="00D011C8">
        <w:t>Tepti ant nedidelio odos paviršiaus. Tepant vaistu didelį odos plotą, gali pasireikšti viršutinių kvėpavimo takų sudirginimas. Ypač jautriems pacientams gali iššaukti bronchospazmus.</w:t>
      </w:r>
    </w:p>
    <w:p w:rsidR="003F4CD4" w:rsidRDefault="003F4CD4" w:rsidP="003F4CD4">
      <w:pPr>
        <w:jc w:val="both"/>
      </w:pPr>
      <w:r w:rsidRPr="00D011C8">
        <w:t>Netepti aplink burną ir akis, ant gleivinės, nudegusios, ligotos ar pažeistos odos.</w:t>
      </w:r>
    </w:p>
    <w:p w:rsidR="003F4CD4" w:rsidRPr="00D011C8" w:rsidRDefault="003F4CD4" w:rsidP="003F4CD4">
      <w:pPr>
        <w:jc w:val="both"/>
      </w:pPr>
      <w:r w:rsidRPr="00D011C8">
        <w:t>Jautriems asmenims gali sukelti eritemą. Pasireiškus eritemai vaisto vartojimą reikia nutraukti.</w:t>
      </w:r>
    </w:p>
    <w:p w:rsidR="003F4CD4" w:rsidRPr="00D011C8" w:rsidRDefault="003F4CD4" w:rsidP="003F4CD4">
      <w:pPr>
        <w:pStyle w:val="BTEMEASMCA"/>
      </w:pPr>
    </w:p>
    <w:p w:rsidR="003F4CD4" w:rsidRPr="00D011C8" w:rsidRDefault="003F4CD4" w:rsidP="003F4CD4">
      <w:pPr>
        <w:pStyle w:val="PI-3EMEASMCA"/>
      </w:pPr>
      <w:r w:rsidRPr="00D011C8">
        <w:t>Vaikams ir paaugliams</w:t>
      </w:r>
    </w:p>
    <w:p w:rsidR="003F4CD4" w:rsidRPr="00D011C8" w:rsidRDefault="003F4CD4" w:rsidP="003F4CD4">
      <w:pPr>
        <w:pStyle w:val="BodyText"/>
        <w:spacing w:after="0"/>
        <w:rPr>
          <w:szCs w:val="22"/>
        </w:rPr>
      </w:pPr>
      <w:r w:rsidRPr="00D011C8">
        <w:rPr>
          <w:szCs w:val="22"/>
        </w:rPr>
        <w:t>Vaikams jaunesniems kaip 7 metai šio vaisto vartoti negalima.</w:t>
      </w:r>
    </w:p>
    <w:p w:rsidR="003F4CD4" w:rsidRPr="00D011C8" w:rsidRDefault="003F4CD4" w:rsidP="003F4CD4">
      <w:pPr>
        <w:pStyle w:val="PI-3EMEASMCA"/>
      </w:pPr>
    </w:p>
    <w:p w:rsidR="003F4CD4" w:rsidRPr="00D011C8" w:rsidRDefault="003F4CD4" w:rsidP="003F4CD4">
      <w:pPr>
        <w:pStyle w:val="PI-3EMEASMCA"/>
      </w:pPr>
      <w:r w:rsidRPr="00D011C8">
        <w:lastRenderedPageBreak/>
        <w:t>Kiti vaistai ir Rub-Arom</w:t>
      </w:r>
    </w:p>
    <w:p w:rsidR="003F4CD4" w:rsidRPr="00D011C8" w:rsidRDefault="003F4CD4" w:rsidP="003F4CD4">
      <w:pPr>
        <w:pStyle w:val="BodyText"/>
        <w:spacing w:after="0"/>
        <w:rPr>
          <w:szCs w:val="22"/>
        </w:rPr>
      </w:pPr>
      <w:r w:rsidRPr="00D011C8">
        <w:rPr>
          <w:szCs w:val="22"/>
        </w:rPr>
        <w:t>Jeigu vartojate ar neseniai vartojote kitų vaistų arba dėl to nesate tikri, apie tai pasakykite gydytojui arba vaistininkui.</w:t>
      </w:r>
    </w:p>
    <w:p w:rsidR="003F4CD4" w:rsidRPr="00D011C8" w:rsidRDefault="003F4CD4" w:rsidP="003F4CD4">
      <w:pPr>
        <w:pStyle w:val="BodyText"/>
        <w:spacing w:after="0"/>
        <w:rPr>
          <w:szCs w:val="22"/>
        </w:rPr>
      </w:pPr>
      <w:r w:rsidRPr="00D011C8">
        <w:rPr>
          <w:szCs w:val="22"/>
        </w:rPr>
        <w:t>Duomenų apie sąveiką su kitais vaistais nėra gauta.</w:t>
      </w:r>
    </w:p>
    <w:p w:rsidR="003F4CD4" w:rsidRPr="00D011C8" w:rsidRDefault="003F4CD4" w:rsidP="003F4CD4">
      <w:pPr>
        <w:pStyle w:val="BTEMEASMCA"/>
      </w:pPr>
    </w:p>
    <w:p w:rsidR="003F4CD4" w:rsidRPr="00D011C8" w:rsidRDefault="003F4CD4" w:rsidP="003F4CD4">
      <w:pPr>
        <w:pStyle w:val="PI-3EMEASMCA"/>
      </w:pPr>
      <w:r w:rsidRPr="00D011C8">
        <w:t>Nėštumas ir žindymo laikotarpis</w:t>
      </w:r>
    </w:p>
    <w:p w:rsidR="003F4CD4" w:rsidRDefault="003F4CD4" w:rsidP="003F4CD4">
      <w:pPr>
        <w:numPr>
          <w:ilvl w:val="12"/>
          <w:numId w:val="0"/>
        </w:numPr>
      </w:pPr>
      <w:r w:rsidRPr="00D011C8">
        <w:t>Jeigu esate nėščia, žindote kūdikį, manote, kad galbūt esate nėščia arba planuojate pastoti, tai prieš vartodama šį vaistą pasitarkite su gydytoju arba vaistininku.</w:t>
      </w:r>
    </w:p>
    <w:p w:rsidR="003F4CD4" w:rsidRPr="00D011C8" w:rsidRDefault="003F4CD4" w:rsidP="003F4CD4">
      <w:pPr>
        <w:pStyle w:val="BodyText"/>
        <w:spacing w:after="0"/>
        <w:rPr>
          <w:szCs w:val="22"/>
        </w:rPr>
      </w:pPr>
    </w:p>
    <w:p w:rsidR="003F4CD4" w:rsidRPr="00AE2A19" w:rsidRDefault="003F4CD4" w:rsidP="003F4CD4">
      <w:pPr>
        <w:pStyle w:val="BodyText"/>
        <w:spacing w:after="0"/>
        <w:rPr>
          <w:szCs w:val="22"/>
          <w:u w:val="single"/>
        </w:rPr>
      </w:pPr>
      <w:r w:rsidRPr="00AE2A19">
        <w:rPr>
          <w:szCs w:val="22"/>
          <w:u w:val="single"/>
        </w:rPr>
        <w:t>Nėštumas</w:t>
      </w:r>
    </w:p>
    <w:p w:rsidR="003F4CD4" w:rsidRPr="00D011C8" w:rsidRDefault="003F4CD4" w:rsidP="003F4CD4">
      <w:pPr>
        <w:pStyle w:val="BodyText"/>
        <w:spacing w:after="0"/>
        <w:rPr>
          <w:szCs w:val="22"/>
        </w:rPr>
      </w:pPr>
      <w:r w:rsidRPr="00D011C8">
        <w:rPr>
          <w:szCs w:val="22"/>
        </w:rPr>
        <w:t>Vartoti nerekomenduojama, kadangi duomenų apie vaisto saugumą nėštumo laikotarpiu nėra.</w:t>
      </w:r>
    </w:p>
    <w:p w:rsidR="003F4CD4" w:rsidRPr="00D011C8" w:rsidRDefault="003F4CD4" w:rsidP="003F4CD4">
      <w:pPr>
        <w:pStyle w:val="BodyText"/>
        <w:spacing w:after="0"/>
        <w:rPr>
          <w:szCs w:val="22"/>
        </w:rPr>
      </w:pPr>
    </w:p>
    <w:p w:rsidR="003F4CD4" w:rsidRPr="00AE2A19" w:rsidRDefault="003F4CD4" w:rsidP="003F4CD4">
      <w:pPr>
        <w:pStyle w:val="BodyText"/>
        <w:spacing w:after="0"/>
        <w:rPr>
          <w:szCs w:val="22"/>
          <w:u w:val="single"/>
        </w:rPr>
      </w:pPr>
      <w:r w:rsidRPr="00AE2A19">
        <w:rPr>
          <w:szCs w:val="22"/>
          <w:u w:val="single"/>
        </w:rPr>
        <w:t>Žindymas</w:t>
      </w:r>
    </w:p>
    <w:p w:rsidR="003F4CD4" w:rsidRPr="00D011C8" w:rsidRDefault="003F4CD4" w:rsidP="003F4CD4">
      <w:pPr>
        <w:pStyle w:val="BodyText"/>
        <w:spacing w:after="0"/>
        <w:rPr>
          <w:szCs w:val="22"/>
        </w:rPr>
      </w:pPr>
      <w:r w:rsidRPr="00D011C8">
        <w:rPr>
          <w:szCs w:val="22"/>
        </w:rPr>
        <w:t>Vartoti nerekomenduojama, kadangi duomenų apie vaisto saugumą žindymo laikotarpiu nėra.</w:t>
      </w:r>
    </w:p>
    <w:p w:rsidR="003F4CD4" w:rsidRPr="00D011C8" w:rsidRDefault="003F4CD4" w:rsidP="003F4CD4">
      <w:pPr>
        <w:pStyle w:val="BTEMEASMCA"/>
      </w:pPr>
    </w:p>
    <w:p w:rsidR="003F4CD4" w:rsidRPr="00D011C8" w:rsidRDefault="003F4CD4" w:rsidP="003F4CD4">
      <w:pPr>
        <w:pStyle w:val="PI-3EMEASMCA"/>
      </w:pPr>
      <w:r w:rsidRPr="00D011C8">
        <w:t>Vairavimas ir mechanizmų valdymas</w:t>
      </w:r>
    </w:p>
    <w:p w:rsidR="003F4CD4" w:rsidRPr="00D011C8" w:rsidRDefault="003F4CD4" w:rsidP="003F4CD4">
      <w:pPr>
        <w:pStyle w:val="BodyText"/>
        <w:spacing w:after="0"/>
        <w:rPr>
          <w:szCs w:val="22"/>
        </w:rPr>
      </w:pPr>
      <w:r w:rsidRPr="00D011C8">
        <w:rPr>
          <w:szCs w:val="22"/>
        </w:rPr>
        <w:t>Rub-Arom gebėjimo vairuoti ir valdyti mechanizmus neveikia.</w:t>
      </w:r>
    </w:p>
    <w:p w:rsidR="003F4CD4" w:rsidRPr="00D011C8" w:rsidRDefault="003F4CD4" w:rsidP="003F4CD4">
      <w:pPr>
        <w:pStyle w:val="BTEMEASMCA"/>
      </w:pPr>
    </w:p>
    <w:p w:rsidR="003F4CD4" w:rsidRPr="00D011C8" w:rsidRDefault="003F4CD4" w:rsidP="003F4CD4">
      <w:pPr>
        <w:pStyle w:val="BTEMEASMCA"/>
      </w:pPr>
    </w:p>
    <w:p w:rsidR="003F4CD4" w:rsidRPr="00D011C8" w:rsidRDefault="003F4CD4" w:rsidP="003F4CD4">
      <w:pPr>
        <w:keepNext/>
        <w:tabs>
          <w:tab w:val="left" w:pos="567"/>
        </w:tabs>
        <w:spacing w:line="260" w:lineRule="exact"/>
        <w:outlineLvl w:val="3"/>
        <w:rPr>
          <w:rFonts w:eastAsia="SimSun"/>
          <w:b/>
        </w:rPr>
      </w:pPr>
      <w:bookmarkStart w:id="6" w:name="_Toc129243141"/>
      <w:bookmarkStart w:id="7" w:name="_Toc129243266"/>
      <w:r w:rsidRPr="00D011C8">
        <w:rPr>
          <w:rFonts w:eastAsia="SimSun"/>
          <w:b/>
        </w:rPr>
        <w:t>3.</w:t>
      </w:r>
      <w:r w:rsidRPr="00D011C8">
        <w:rPr>
          <w:rFonts w:eastAsia="SimSun"/>
          <w:b/>
        </w:rPr>
        <w:tab/>
        <w:t>Kaip vartoti Rub-Arom</w:t>
      </w:r>
      <w:bookmarkEnd w:id="6"/>
      <w:bookmarkEnd w:id="7"/>
    </w:p>
    <w:p w:rsidR="003F4CD4" w:rsidRPr="00D011C8" w:rsidRDefault="003F4CD4" w:rsidP="003F4CD4">
      <w:pPr>
        <w:pStyle w:val="BTEMEASMCA"/>
      </w:pPr>
    </w:p>
    <w:p w:rsidR="003F4CD4" w:rsidRDefault="003F4CD4" w:rsidP="003F4CD4">
      <w:pPr>
        <w:numPr>
          <w:ilvl w:val="12"/>
          <w:numId w:val="0"/>
        </w:numPr>
        <w:ind w:right="-2"/>
      </w:pPr>
      <w:r w:rsidRPr="00D011C8">
        <w:t>Visada vartokite šį vaistą tiksliai kaip aprašyta šiame lapelyje arba kaip nurodė gydytojas arba vaistininkas. Jeigu abejojate, kreipkitės į gydytoją arba vaistininką.</w:t>
      </w:r>
    </w:p>
    <w:p w:rsidR="003F4CD4" w:rsidRPr="00D011C8" w:rsidRDefault="003F4CD4" w:rsidP="003F4CD4">
      <w:pPr>
        <w:pStyle w:val="BodyText"/>
        <w:spacing w:after="0"/>
        <w:rPr>
          <w:szCs w:val="22"/>
        </w:rPr>
      </w:pPr>
    </w:p>
    <w:p w:rsidR="003F4CD4" w:rsidRDefault="003F4CD4" w:rsidP="003F4CD4">
      <w:pPr>
        <w:pStyle w:val="BodyText"/>
        <w:spacing w:after="0"/>
        <w:rPr>
          <w:b/>
          <w:szCs w:val="22"/>
        </w:rPr>
      </w:pPr>
      <w:r w:rsidRPr="00AE2A19">
        <w:rPr>
          <w:b/>
          <w:szCs w:val="22"/>
        </w:rPr>
        <w:t>Suaugusiems žmonėms</w:t>
      </w:r>
    </w:p>
    <w:p w:rsidR="003F4CD4" w:rsidRPr="00D011C8" w:rsidRDefault="003F4CD4" w:rsidP="003F4CD4">
      <w:pPr>
        <w:pStyle w:val="BodyText"/>
        <w:spacing w:after="0"/>
        <w:rPr>
          <w:szCs w:val="22"/>
        </w:rPr>
      </w:pPr>
      <w:r w:rsidRPr="00D011C8">
        <w:rPr>
          <w:szCs w:val="22"/>
        </w:rPr>
        <w:t>Įtrinti skaudamas vietas tepalo kiekiu, telpančiu į 2 matavimo šaukštus (apie 3 g).</w:t>
      </w:r>
    </w:p>
    <w:p w:rsidR="003F4CD4" w:rsidRPr="00D011C8" w:rsidRDefault="003F4CD4" w:rsidP="003F4CD4">
      <w:pPr>
        <w:pStyle w:val="BodyText"/>
        <w:spacing w:after="0"/>
        <w:rPr>
          <w:szCs w:val="22"/>
        </w:rPr>
      </w:pPr>
      <w:r w:rsidRPr="00D011C8">
        <w:rPr>
          <w:szCs w:val="22"/>
        </w:rPr>
        <w:t>Odą tepti ir įtrinti 2-3 kartus per dieną.</w:t>
      </w:r>
    </w:p>
    <w:p w:rsidR="003F4CD4" w:rsidRPr="00D011C8" w:rsidRDefault="003F4CD4" w:rsidP="003F4CD4">
      <w:pPr>
        <w:contextualSpacing/>
        <w:outlineLvl w:val="0"/>
        <w:rPr>
          <w:i/>
          <w:iCs/>
        </w:rPr>
      </w:pPr>
    </w:p>
    <w:p w:rsidR="003F4CD4" w:rsidRDefault="003F4CD4" w:rsidP="003F4CD4">
      <w:pPr>
        <w:contextualSpacing/>
        <w:outlineLvl w:val="0"/>
        <w:rPr>
          <w:b/>
          <w:iCs/>
        </w:rPr>
      </w:pPr>
      <w:r w:rsidRPr="00D011C8">
        <w:rPr>
          <w:b/>
          <w:iCs/>
        </w:rPr>
        <w:t>Vartojimas vaikams</w:t>
      </w:r>
    </w:p>
    <w:p w:rsidR="003F4CD4" w:rsidRPr="00D011C8" w:rsidRDefault="003F4CD4" w:rsidP="003F4CD4">
      <w:r w:rsidRPr="00D011C8">
        <w:t>Vyresniems nei 12 metų vaikams: 2-3 kartus per dieną įtrinti krūtinės ir nugaros odą tepalo kiekiu, telpančiu į 2 matavimo šaukštus (apie 3 g).</w:t>
      </w:r>
    </w:p>
    <w:p w:rsidR="003F4CD4" w:rsidRPr="00D011C8" w:rsidRDefault="003F4CD4" w:rsidP="003F4CD4">
      <w:r w:rsidRPr="00D011C8">
        <w:rPr>
          <w:bCs/>
        </w:rPr>
        <w:t>7-12 metų vaikams</w:t>
      </w:r>
      <w:r w:rsidRPr="00D011C8">
        <w:rPr>
          <w:b/>
          <w:bCs/>
        </w:rPr>
        <w:t xml:space="preserve">: </w:t>
      </w:r>
      <w:r w:rsidRPr="00D011C8">
        <w:t>2-3 kartus per dieną</w:t>
      </w:r>
      <w:r w:rsidRPr="00D011C8">
        <w:rPr>
          <w:b/>
          <w:bCs/>
        </w:rPr>
        <w:t xml:space="preserve"> </w:t>
      </w:r>
      <w:r w:rsidRPr="00D011C8">
        <w:t>įtrinti krūtinės ir nugaros odą tepalo kiekiu, telpančiu į 1 matavimo šaukštą (apie 1,5 g).</w:t>
      </w:r>
    </w:p>
    <w:p w:rsidR="003F4CD4" w:rsidRPr="00D011C8" w:rsidRDefault="003F4CD4" w:rsidP="003F4CD4">
      <w:pPr>
        <w:pStyle w:val="BodyText"/>
        <w:spacing w:after="0"/>
        <w:rPr>
          <w:szCs w:val="22"/>
        </w:rPr>
      </w:pPr>
      <w:r w:rsidRPr="00D011C8">
        <w:rPr>
          <w:szCs w:val="22"/>
        </w:rPr>
        <w:t>Vaikams jaunesniems kaip 7 metai šio vaisto vartoti negalima.</w:t>
      </w:r>
    </w:p>
    <w:p w:rsidR="003F4CD4" w:rsidRPr="00D011C8" w:rsidRDefault="003F4CD4" w:rsidP="003F4CD4"/>
    <w:p w:rsidR="003F4CD4" w:rsidRPr="00D011C8" w:rsidRDefault="003F4CD4" w:rsidP="003F4CD4">
      <w:r w:rsidRPr="00D011C8">
        <w:t>Pakuotėje yra matavimo šaukštas, į kurį telpa apie 1,5 g tepalo.</w:t>
      </w:r>
    </w:p>
    <w:p w:rsidR="003F4CD4" w:rsidRPr="00D011C8" w:rsidRDefault="003F4CD4" w:rsidP="003F4CD4">
      <w:pPr>
        <w:pStyle w:val="BTEMEASMCA"/>
      </w:pPr>
    </w:p>
    <w:p w:rsidR="003F4CD4" w:rsidRPr="00D011C8" w:rsidRDefault="003F4CD4" w:rsidP="003F4CD4">
      <w:pPr>
        <w:pStyle w:val="PI-3EMEASMCA"/>
      </w:pPr>
      <w:r w:rsidRPr="00D011C8">
        <w:t>Ką daryti pavartojus per didelę Rub-Arom dozę?</w:t>
      </w:r>
    </w:p>
    <w:p w:rsidR="003F4CD4" w:rsidRDefault="003F4CD4" w:rsidP="003F4CD4">
      <w:pPr>
        <w:pStyle w:val="BTEMEASMCA"/>
      </w:pPr>
      <w:r w:rsidRPr="00D011C8">
        <w:t>Pavartojus didesnę dozę nei rekomenduojama, tepalo perteklių reikia pašalinti nuo odos.</w:t>
      </w:r>
    </w:p>
    <w:p w:rsidR="003F4CD4" w:rsidRPr="00D011C8" w:rsidRDefault="003F4CD4" w:rsidP="003F4CD4">
      <w:pPr>
        <w:pStyle w:val="TabletextrowsAgency"/>
        <w:rPr>
          <w:rFonts w:ascii="Times New Roman" w:hAnsi="Times New Roman" w:cs="Times New Roman"/>
          <w:sz w:val="22"/>
          <w:szCs w:val="22"/>
          <w:lang w:val="lt-LT"/>
        </w:rPr>
      </w:pPr>
      <w:r w:rsidRPr="00D011C8">
        <w:rPr>
          <w:rFonts w:ascii="Times New Roman" w:hAnsi="Times New Roman" w:cs="Times New Roman"/>
          <w:sz w:val="22"/>
          <w:szCs w:val="22"/>
          <w:lang w:val="lt-LT"/>
        </w:rPr>
        <w:t>Jei netyčia Jūsų vaikas nurijo tepalo, labai svarbu nedelsiant kreiptis į gydytoją, kuris paskirs būtiną gydymą.</w:t>
      </w:r>
    </w:p>
    <w:p w:rsidR="003F4CD4" w:rsidRPr="00D011C8" w:rsidRDefault="003F4CD4" w:rsidP="003F4CD4">
      <w:pPr>
        <w:pStyle w:val="BTEMEASMCA"/>
        <w:rPr>
          <w:noProof w:val="0"/>
        </w:rPr>
      </w:pPr>
      <w:r w:rsidRPr="00D011C8">
        <w:t>Nesistenkite sukelti vėmimo. Kartu su savimi paimkite vaisto pakuotę.</w:t>
      </w:r>
      <w:r w:rsidRPr="00D011C8">
        <w:rPr>
          <w:noProof w:val="0"/>
        </w:rPr>
        <w:t>.</w:t>
      </w:r>
    </w:p>
    <w:p w:rsidR="003F4CD4" w:rsidRPr="00D011C8" w:rsidRDefault="003F4CD4" w:rsidP="003F4CD4">
      <w:pPr>
        <w:pStyle w:val="BTEMEASMCA"/>
      </w:pPr>
    </w:p>
    <w:p w:rsidR="003F4CD4" w:rsidRPr="00D011C8" w:rsidRDefault="003F4CD4" w:rsidP="003F4CD4">
      <w:pPr>
        <w:pStyle w:val="PI-3EMEASMCA"/>
      </w:pPr>
      <w:r w:rsidRPr="00D011C8">
        <w:t>Pamiršus pavartoti Rub-Arom</w:t>
      </w:r>
    </w:p>
    <w:p w:rsidR="003F4CD4" w:rsidRPr="00D011C8" w:rsidRDefault="003F4CD4" w:rsidP="003F4CD4">
      <w:pPr>
        <w:pStyle w:val="PI-3EMEASMCA"/>
        <w:rPr>
          <w:b w:val="0"/>
        </w:rPr>
      </w:pPr>
      <w:r w:rsidRPr="00D011C8">
        <w:rPr>
          <w:b w:val="0"/>
        </w:rPr>
        <w:t>Negalima vartoti dvigubos dozės norint kompensuoti praleistą dozę.</w:t>
      </w:r>
    </w:p>
    <w:p w:rsidR="003F4CD4" w:rsidRPr="00D011C8" w:rsidRDefault="003F4CD4" w:rsidP="003F4CD4">
      <w:pPr>
        <w:pStyle w:val="BTEMEASMCA"/>
      </w:pPr>
    </w:p>
    <w:p w:rsidR="003F4CD4" w:rsidRPr="00D011C8" w:rsidRDefault="003F4CD4" w:rsidP="003F4CD4">
      <w:pPr>
        <w:pStyle w:val="BTEMEASMCA"/>
      </w:pPr>
    </w:p>
    <w:p w:rsidR="003F4CD4" w:rsidRPr="00D011C8" w:rsidRDefault="003F4CD4" w:rsidP="003F4CD4">
      <w:pPr>
        <w:keepNext/>
        <w:tabs>
          <w:tab w:val="left" w:pos="567"/>
        </w:tabs>
        <w:spacing w:line="260" w:lineRule="exact"/>
        <w:outlineLvl w:val="3"/>
        <w:rPr>
          <w:rFonts w:eastAsia="SimSun"/>
          <w:b/>
        </w:rPr>
      </w:pPr>
      <w:bookmarkStart w:id="8" w:name="_Toc129243142"/>
      <w:bookmarkStart w:id="9" w:name="_Toc129243267"/>
      <w:r w:rsidRPr="00D011C8">
        <w:rPr>
          <w:rFonts w:eastAsia="SimSun"/>
          <w:b/>
        </w:rPr>
        <w:t>4.</w:t>
      </w:r>
      <w:r w:rsidRPr="00D011C8">
        <w:rPr>
          <w:rFonts w:eastAsia="SimSun"/>
          <w:b/>
        </w:rPr>
        <w:tab/>
        <w:t>Galimas šalutinis poveikis</w:t>
      </w:r>
      <w:bookmarkEnd w:id="8"/>
      <w:bookmarkEnd w:id="9"/>
    </w:p>
    <w:p w:rsidR="003F4CD4" w:rsidRPr="00D011C8" w:rsidRDefault="003F4CD4" w:rsidP="003F4CD4">
      <w:pPr>
        <w:pStyle w:val="BTEMEASMCA"/>
      </w:pPr>
    </w:p>
    <w:p w:rsidR="003F4CD4" w:rsidRPr="00D011C8" w:rsidRDefault="003F4CD4" w:rsidP="003F4CD4">
      <w:pPr>
        <w:pStyle w:val="BTEMEASMCA"/>
      </w:pPr>
      <w:r w:rsidRPr="00D011C8">
        <w:t>Šis vaistas, kaip ir visi kiti vaistai, gali sukelti šalutinį poveikį, nors jis pasireiškia ne visiems žmonėms.</w:t>
      </w:r>
    </w:p>
    <w:p w:rsidR="003F4CD4" w:rsidRPr="00D011C8" w:rsidRDefault="003F4CD4" w:rsidP="003F4CD4">
      <w:pPr>
        <w:pStyle w:val="BTEMEASMCA"/>
      </w:pPr>
    </w:p>
    <w:p w:rsidR="003F4CD4" w:rsidRPr="00D011C8" w:rsidRDefault="003F4CD4" w:rsidP="003F4CD4">
      <w:pPr>
        <w:numPr>
          <w:ilvl w:val="12"/>
          <w:numId w:val="0"/>
        </w:numPr>
        <w:ind w:right="-29"/>
      </w:pPr>
      <w:r w:rsidRPr="00D011C8">
        <w:t>Nepageidaujamo poveikio simptomams įvertinti vartojamos tokios dažnumo sąvokos: labai dažni (</w:t>
      </w:r>
      <w:r w:rsidRPr="00D011C8">
        <w:rPr>
          <w:u w:val="single"/>
        </w:rPr>
        <w:t>&gt;</w:t>
      </w:r>
      <w:r w:rsidRPr="00D011C8">
        <w:t xml:space="preserve">1/10); dažni (nuo </w:t>
      </w:r>
      <w:r w:rsidRPr="00D011C8">
        <w:rPr>
          <w:u w:val="single"/>
        </w:rPr>
        <w:t>&gt;</w:t>
      </w:r>
      <w:r w:rsidRPr="00D011C8">
        <w:t xml:space="preserve">1/100 iki &lt;1/10); nedažni (nuo </w:t>
      </w:r>
      <w:r w:rsidRPr="00D011C8">
        <w:rPr>
          <w:u w:val="single"/>
        </w:rPr>
        <w:t>&gt;</w:t>
      </w:r>
      <w:r w:rsidRPr="00D011C8">
        <w:t xml:space="preserve">1/1000 iki &lt;1/100); reti (nuo </w:t>
      </w:r>
      <w:r w:rsidRPr="00D011C8">
        <w:rPr>
          <w:u w:val="single"/>
        </w:rPr>
        <w:t>&gt;</w:t>
      </w:r>
      <w:r w:rsidRPr="00D011C8">
        <w:t>1/10000 iki &lt;1/1000); labai reti (&lt;1/10000); dažnis nežinomas (negali būti įvertintas pagal turimus duomenis).</w:t>
      </w:r>
    </w:p>
    <w:p w:rsidR="003F4CD4" w:rsidRPr="00D011C8" w:rsidRDefault="003F4CD4" w:rsidP="003F4CD4"/>
    <w:p w:rsidR="003F4CD4" w:rsidRDefault="003F4CD4" w:rsidP="003F4CD4">
      <w:pPr>
        <w:rPr>
          <w:i/>
          <w:lang w:eastAsia="lt-LT"/>
        </w:rPr>
      </w:pPr>
      <w:r w:rsidRPr="00D011C8">
        <w:rPr>
          <w:i/>
          <w:lang w:eastAsia="lt-LT"/>
        </w:rPr>
        <w:t>Kvėpavimo sistemos, krūtinės ląstos ir tarpuplaučio sutrikimai</w:t>
      </w:r>
    </w:p>
    <w:p w:rsidR="003F4CD4" w:rsidRPr="00D011C8" w:rsidRDefault="003F4CD4" w:rsidP="003F4CD4">
      <w:pPr>
        <w:rPr>
          <w:lang w:eastAsia="lt-LT"/>
        </w:rPr>
      </w:pPr>
      <w:r w:rsidRPr="00D011C8">
        <w:rPr>
          <w:lang w:eastAsia="lt-LT"/>
        </w:rPr>
        <w:t>Labai reti: bronchospazmai, ypač pacientams turintiems polinkį.</w:t>
      </w:r>
    </w:p>
    <w:p w:rsidR="003F4CD4" w:rsidRPr="00D011C8" w:rsidRDefault="003F4CD4" w:rsidP="003F4CD4">
      <w:pPr>
        <w:rPr>
          <w:lang w:eastAsia="lt-LT"/>
        </w:rPr>
      </w:pPr>
    </w:p>
    <w:p w:rsidR="003F4CD4" w:rsidRPr="00D011C8" w:rsidRDefault="003F4CD4" w:rsidP="003F4CD4">
      <w:pPr>
        <w:rPr>
          <w:lang w:eastAsia="lt-LT"/>
        </w:rPr>
      </w:pPr>
      <w:r w:rsidRPr="00D011C8">
        <w:rPr>
          <w:i/>
          <w:lang w:eastAsia="lt-LT"/>
        </w:rPr>
        <w:t>Odos ir poodinio audinio sutrikimai</w:t>
      </w:r>
    </w:p>
    <w:p w:rsidR="003F4CD4" w:rsidRDefault="003F4CD4" w:rsidP="003F4CD4">
      <w:pPr>
        <w:pStyle w:val="BTEMEASMCA"/>
      </w:pPr>
      <w:r w:rsidRPr="00D011C8">
        <w:t>Labai reti: eritema.</w:t>
      </w:r>
    </w:p>
    <w:p w:rsidR="003F4CD4" w:rsidRPr="00D011C8" w:rsidRDefault="003F4CD4" w:rsidP="003F4CD4"/>
    <w:p w:rsidR="003F4CD4" w:rsidRPr="00D011C8" w:rsidRDefault="003F4CD4" w:rsidP="003F4CD4">
      <w:r w:rsidRPr="00D011C8">
        <w:t>Kokių priemonių reikėtų imtis, jei atsiranda šalutinio poveikio požymių?</w:t>
      </w:r>
    </w:p>
    <w:p w:rsidR="003F4CD4" w:rsidRDefault="003F4CD4" w:rsidP="003F4CD4">
      <w:r w:rsidRPr="00D011C8">
        <w:t>Atsiradus šalutinio poveikio požymiams vaisto vartojimą reikia nutraukti ir pasitarti su gydytoju. Nepageidaujamo poveikio nepastebėta, tačiau jautriems asmenims gali sukelti odos paraudimą (eritemą). Eritemai užsitęsus vaisto vartojimą reikia nutraukti. Gali atsirasti viršutinių kvėpavimo takų sudirginimas pavartojus vaistą ant didelio kūno ploto. Ypač jautriems pacientams gali iššaukti bronchospazmus.</w:t>
      </w:r>
    </w:p>
    <w:p w:rsidR="003F4CD4" w:rsidRPr="00D011C8" w:rsidRDefault="003F4CD4" w:rsidP="003F4CD4">
      <w:pPr>
        <w:pStyle w:val="BodyText"/>
        <w:spacing w:after="0"/>
        <w:rPr>
          <w:szCs w:val="22"/>
        </w:rPr>
      </w:pPr>
    </w:p>
    <w:p w:rsidR="003F4CD4" w:rsidRPr="00D011C8" w:rsidRDefault="003F4CD4" w:rsidP="003F4CD4">
      <w:pPr>
        <w:tabs>
          <w:tab w:val="left" w:pos="709"/>
        </w:tabs>
        <w:rPr>
          <w:b/>
          <w:bCs/>
          <w:noProof/>
        </w:rPr>
      </w:pPr>
      <w:r w:rsidRPr="00D011C8">
        <w:rPr>
          <w:b/>
          <w:bCs/>
          <w:noProof/>
        </w:rPr>
        <w:t>Pranešimas apie šalutinį poveikį</w:t>
      </w:r>
    </w:p>
    <w:p w:rsidR="003F4CD4" w:rsidRPr="00D011C8" w:rsidRDefault="003F4CD4" w:rsidP="003F4CD4">
      <w:pPr>
        <w:tabs>
          <w:tab w:val="left" w:pos="709"/>
        </w:tabs>
        <w:rPr>
          <w:bCs/>
          <w:noProof/>
        </w:rPr>
      </w:pPr>
      <w:r w:rsidRPr="00D011C8">
        <w:rPr>
          <w:bCs/>
          <w:noProof/>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713274">
          <w:rPr>
            <w:rStyle w:val="Hyperlink"/>
            <w:bCs/>
            <w:noProof/>
          </w:rPr>
          <w:t>www.vvkt.lt</w:t>
        </w:r>
      </w:hyperlink>
      <w:r>
        <w:rPr>
          <w:bCs/>
          <w:noProof/>
        </w:rPr>
        <w:t xml:space="preserve"> </w:t>
      </w:r>
      <w:r w:rsidRPr="00D011C8">
        <w:rPr>
          <w:bCs/>
          <w:noProof/>
        </w:rPr>
        <w:t xml:space="preserve">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sidRPr="00713274">
          <w:rPr>
            <w:rStyle w:val="Hyperlink"/>
            <w:bCs/>
            <w:noProof/>
          </w:rPr>
          <w:t>NepageidaujamaR@vvkt.lt</w:t>
        </w:r>
      </w:hyperlink>
      <w:r w:rsidRPr="00D011C8">
        <w:rPr>
          <w:bCs/>
          <w:noProof/>
        </w:rPr>
        <w:t xml:space="preserve">, taip pat per Valstybinės vaistų kontrolės tarnybos prie Lietuvos Respublikos sveikatos apsaugos ministerijos interneto svetainę (adresu </w:t>
      </w:r>
      <w:hyperlink r:id="rId7" w:history="1">
        <w:r w:rsidRPr="00713274">
          <w:rPr>
            <w:rStyle w:val="Hyperlink"/>
            <w:bCs/>
            <w:noProof/>
          </w:rPr>
          <w:t>http://www.vvkt.lt</w:t>
        </w:r>
      </w:hyperlink>
      <w:r w:rsidRPr="00D011C8">
        <w:rPr>
          <w:bCs/>
          <w:noProof/>
        </w:rPr>
        <w:t>). Pranešdami apie šalutinį poveikį galite mums padėti gauti daugiau informacijos apie šio vaisto saugumą.</w:t>
      </w:r>
    </w:p>
    <w:p w:rsidR="003F4CD4" w:rsidRPr="00D011C8" w:rsidRDefault="003F4CD4" w:rsidP="003F4CD4">
      <w:pPr>
        <w:pStyle w:val="BTEMEASMCA"/>
      </w:pPr>
    </w:p>
    <w:p w:rsidR="003F4CD4" w:rsidRPr="00D011C8" w:rsidRDefault="003F4CD4" w:rsidP="003F4CD4">
      <w:pPr>
        <w:pStyle w:val="BTEMEASMCA"/>
      </w:pPr>
    </w:p>
    <w:p w:rsidR="003F4CD4" w:rsidRPr="00D011C8" w:rsidRDefault="003F4CD4" w:rsidP="003F4CD4">
      <w:pPr>
        <w:keepNext/>
        <w:tabs>
          <w:tab w:val="left" w:pos="567"/>
        </w:tabs>
        <w:spacing w:line="260" w:lineRule="exact"/>
        <w:jc w:val="both"/>
        <w:outlineLvl w:val="3"/>
        <w:rPr>
          <w:rFonts w:eastAsia="SimSun"/>
          <w:b/>
        </w:rPr>
      </w:pPr>
      <w:bookmarkStart w:id="10" w:name="_Toc129243143"/>
      <w:bookmarkStart w:id="11" w:name="_Toc129243268"/>
      <w:r w:rsidRPr="00D011C8">
        <w:rPr>
          <w:rFonts w:eastAsia="SimSun"/>
          <w:b/>
        </w:rPr>
        <w:t>5.</w:t>
      </w:r>
      <w:r w:rsidRPr="00D011C8">
        <w:rPr>
          <w:rFonts w:eastAsia="SimSun"/>
          <w:b/>
        </w:rPr>
        <w:tab/>
        <w:t xml:space="preserve">Kaip laikyti </w:t>
      </w:r>
      <w:bookmarkEnd w:id="10"/>
      <w:bookmarkEnd w:id="11"/>
      <w:r w:rsidRPr="00D011C8">
        <w:rPr>
          <w:rFonts w:eastAsia="SimSun"/>
          <w:b/>
        </w:rPr>
        <w:t>Rub-Arom</w:t>
      </w:r>
    </w:p>
    <w:p w:rsidR="003F4CD4" w:rsidRPr="00D011C8" w:rsidRDefault="003F4CD4" w:rsidP="003F4CD4">
      <w:pPr>
        <w:pStyle w:val="BTEMEASMCA"/>
      </w:pPr>
    </w:p>
    <w:p w:rsidR="003F4CD4" w:rsidRPr="00D011C8" w:rsidRDefault="003F4CD4" w:rsidP="003F4CD4">
      <w:pPr>
        <w:pStyle w:val="BTEMEASMCA"/>
      </w:pPr>
      <w:r w:rsidRPr="00D011C8">
        <w:t>Šį vaistą laikykite vaikams nepastebimoje ir nepasiekiamoje vietoje.</w:t>
      </w:r>
    </w:p>
    <w:p w:rsidR="003F4CD4" w:rsidRPr="00D011C8" w:rsidRDefault="003F4CD4" w:rsidP="003F4CD4">
      <w:pPr>
        <w:pStyle w:val="BTEMEASMCA"/>
      </w:pPr>
    </w:p>
    <w:p w:rsidR="003F4CD4" w:rsidRPr="00D011C8" w:rsidRDefault="003F4CD4" w:rsidP="003F4CD4">
      <w:pPr>
        <w:pStyle w:val="BodyText"/>
        <w:spacing w:after="0"/>
        <w:rPr>
          <w:szCs w:val="22"/>
        </w:rPr>
      </w:pPr>
      <w:r w:rsidRPr="00D011C8">
        <w:rPr>
          <w:szCs w:val="22"/>
        </w:rPr>
        <w:t xml:space="preserve">Laikyti žemesnėje kaip 25 </w:t>
      </w:r>
      <w:r w:rsidRPr="00D011C8">
        <w:rPr>
          <w:szCs w:val="22"/>
        </w:rPr>
        <w:sym w:font="Symbol" w:char="F0B0"/>
      </w:r>
      <w:r w:rsidRPr="00D011C8">
        <w:rPr>
          <w:szCs w:val="22"/>
        </w:rPr>
        <w:t>C temperatūroje.</w:t>
      </w:r>
    </w:p>
    <w:p w:rsidR="003F4CD4" w:rsidRPr="00D011C8" w:rsidRDefault="003F4CD4" w:rsidP="003F4CD4">
      <w:pPr>
        <w:pStyle w:val="BodyText"/>
        <w:spacing w:after="0"/>
        <w:rPr>
          <w:szCs w:val="22"/>
        </w:rPr>
      </w:pPr>
      <w:r w:rsidRPr="00D011C8">
        <w:rPr>
          <w:szCs w:val="22"/>
        </w:rPr>
        <w:t>Pirmą kartą atidarius buteliuką, tepalo tinkamumo laikas – 6 mėnesiai.</w:t>
      </w:r>
    </w:p>
    <w:p w:rsidR="003F4CD4" w:rsidRPr="00D011C8" w:rsidRDefault="003F4CD4" w:rsidP="003F4CD4">
      <w:pPr>
        <w:pStyle w:val="BodyText"/>
        <w:spacing w:after="0"/>
        <w:rPr>
          <w:szCs w:val="22"/>
        </w:rPr>
      </w:pPr>
    </w:p>
    <w:p w:rsidR="003F4CD4" w:rsidRPr="00D011C8" w:rsidRDefault="003F4CD4" w:rsidP="003F4CD4">
      <w:pPr>
        <w:pStyle w:val="BodyText"/>
        <w:spacing w:after="0"/>
        <w:rPr>
          <w:szCs w:val="22"/>
        </w:rPr>
      </w:pPr>
      <w:r w:rsidRPr="00D011C8">
        <w:rPr>
          <w:szCs w:val="22"/>
        </w:rPr>
        <w:t>Ant dėžutės ir etiketės po „Tinka iki“ nurodytam tinkamumo laikui pasibaigus, šio vaisto vartoti negalima. Vaistas tinkamas vartoti iki paskutinės nurodyto mėnesio dienos.</w:t>
      </w:r>
    </w:p>
    <w:p w:rsidR="003F4CD4" w:rsidRPr="00D011C8" w:rsidRDefault="003F4CD4" w:rsidP="003F4CD4">
      <w:pPr>
        <w:numPr>
          <w:ilvl w:val="12"/>
          <w:numId w:val="0"/>
        </w:numPr>
        <w:ind w:right="-2"/>
      </w:pPr>
    </w:p>
    <w:p w:rsidR="003F4CD4" w:rsidRPr="00D011C8" w:rsidRDefault="003F4CD4" w:rsidP="003F4CD4">
      <w:pPr>
        <w:numPr>
          <w:ilvl w:val="12"/>
          <w:numId w:val="0"/>
        </w:numPr>
        <w:ind w:right="-2"/>
      </w:pPr>
      <w:r w:rsidRPr="00D011C8">
        <w:t>Vaistų negalima išmesti į kanalizaciją arba su buitinėmis atliekomis. Kaip išmesti nereikalingus vaistus, klauskite vaistininko. Šios priemonės padės apsaugoti aplinką.</w:t>
      </w:r>
    </w:p>
    <w:p w:rsidR="003F4CD4" w:rsidRPr="00D011C8" w:rsidRDefault="003F4CD4" w:rsidP="003F4CD4">
      <w:pPr>
        <w:pStyle w:val="BTEMEASMCA"/>
      </w:pPr>
    </w:p>
    <w:p w:rsidR="003F4CD4" w:rsidRPr="00D011C8" w:rsidRDefault="003F4CD4" w:rsidP="003F4CD4">
      <w:pPr>
        <w:pStyle w:val="BTEMEASMCA"/>
      </w:pPr>
    </w:p>
    <w:p w:rsidR="003F4CD4" w:rsidRDefault="003F4CD4" w:rsidP="003F4CD4">
      <w:pPr>
        <w:keepNext/>
        <w:tabs>
          <w:tab w:val="left" w:pos="567"/>
        </w:tabs>
        <w:spacing w:line="260" w:lineRule="exact"/>
        <w:outlineLvl w:val="3"/>
        <w:rPr>
          <w:rFonts w:eastAsia="SimSun"/>
          <w:b/>
        </w:rPr>
      </w:pPr>
      <w:bookmarkStart w:id="12" w:name="_Toc129243144"/>
      <w:bookmarkStart w:id="13" w:name="_Toc129243269"/>
      <w:r w:rsidRPr="00D011C8">
        <w:rPr>
          <w:rFonts w:eastAsia="SimSun"/>
          <w:b/>
        </w:rPr>
        <w:t>6.</w:t>
      </w:r>
      <w:r w:rsidRPr="00D011C8">
        <w:rPr>
          <w:rFonts w:eastAsia="SimSun"/>
          <w:b/>
        </w:rPr>
        <w:tab/>
        <w:t>Pakuotės turinys ir kita informacija</w:t>
      </w:r>
      <w:bookmarkEnd w:id="12"/>
      <w:bookmarkEnd w:id="13"/>
    </w:p>
    <w:p w:rsidR="003F4CD4" w:rsidRPr="00D011C8" w:rsidRDefault="003F4CD4" w:rsidP="003F4CD4">
      <w:pPr>
        <w:pStyle w:val="BTEMEASMCA"/>
      </w:pPr>
    </w:p>
    <w:p w:rsidR="003F4CD4" w:rsidRPr="00D011C8" w:rsidRDefault="003F4CD4" w:rsidP="003F4CD4">
      <w:pPr>
        <w:pStyle w:val="PI-3EMEASMCA"/>
      </w:pPr>
      <w:r w:rsidRPr="00D011C8">
        <w:t>Rub-Arom sudėtis</w:t>
      </w:r>
    </w:p>
    <w:p w:rsidR="003F4CD4" w:rsidRPr="00D011C8" w:rsidRDefault="003F4CD4" w:rsidP="003F4CD4">
      <w:pPr>
        <w:pStyle w:val="BT-EMEASMCA"/>
        <w:tabs>
          <w:tab w:val="clear" w:pos="720"/>
          <w:tab w:val="num" w:pos="426"/>
        </w:tabs>
        <w:ind w:left="426" w:hanging="426"/>
      </w:pPr>
      <w:r w:rsidRPr="00D011C8">
        <w:t>Veikliosios medžiagos yra terpentino eterinis aliejus iš pajūrinių pušų, raceminis kamparas, levomentolis, eukaliptų eterinis aliejus, kedrų eterinis aliejus, timolis.</w:t>
      </w:r>
    </w:p>
    <w:p w:rsidR="003F4CD4" w:rsidRPr="00D011C8" w:rsidRDefault="003F4CD4" w:rsidP="003F4CD4">
      <w:pPr>
        <w:pStyle w:val="BT-EMEASMCA"/>
        <w:tabs>
          <w:tab w:val="clear" w:pos="720"/>
          <w:tab w:val="num" w:pos="426"/>
        </w:tabs>
        <w:ind w:left="426" w:hanging="426"/>
      </w:pPr>
      <w:r w:rsidRPr="00D011C8">
        <w:t>1 g tepalo yra 50 mg terpentino eterinio aliejaus iš pajūrinių pušų, 50 mg raceminio kamparo, 27,5 mg levomentolio, 15 mg eukaliptų eterinio aliejaus, 7,5 mg kedrų eterinio aliejaus, 2,5 mg timolio.</w:t>
      </w:r>
    </w:p>
    <w:p w:rsidR="003F4CD4" w:rsidRPr="00D011C8" w:rsidRDefault="003F4CD4" w:rsidP="003F4CD4">
      <w:pPr>
        <w:pStyle w:val="BT-EMEASMCA"/>
        <w:tabs>
          <w:tab w:val="clear" w:pos="720"/>
          <w:tab w:val="num" w:pos="426"/>
        </w:tabs>
        <w:ind w:left="426" w:hanging="426"/>
      </w:pPr>
      <w:r w:rsidRPr="00D011C8">
        <w:t>Pagalbinės medžiagos yra kietasis parafinas, minkštasis baltas vazelinas.</w:t>
      </w:r>
    </w:p>
    <w:p w:rsidR="003F4CD4" w:rsidRPr="00D011C8" w:rsidRDefault="003F4CD4" w:rsidP="003F4CD4">
      <w:pPr>
        <w:pStyle w:val="BTEMEASMCA"/>
        <w:tabs>
          <w:tab w:val="num" w:pos="426"/>
        </w:tabs>
        <w:ind w:left="426" w:hanging="426"/>
      </w:pPr>
    </w:p>
    <w:p w:rsidR="003F4CD4" w:rsidRPr="00D011C8" w:rsidRDefault="003F4CD4" w:rsidP="003F4CD4">
      <w:pPr>
        <w:pStyle w:val="PI-3EMEASMCA"/>
      </w:pPr>
      <w:r w:rsidRPr="00D011C8">
        <w:t>Rub-Arom išvaizda ir kiekis pakuotėje</w:t>
      </w:r>
    </w:p>
    <w:p w:rsidR="003F4CD4" w:rsidRPr="00D011C8" w:rsidRDefault="003F4CD4" w:rsidP="003F4CD4">
      <w:pPr>
        <w:pStyle w:val="BodyText"/>
        <w:spacing w:after="0"/>
        <w:rPr>
          <w:szCs w:val="22"/>
        </w:rPr>
      </w:pPr>
      <w:r w:rsidRPr="00D011C8">
        <w:rPr>
          <w:szCs w:val="22"/>
        </w:rPr>
        <w:t>Skaidrus bespalvis tepalas.</w:t>
      </w:r>
    </w:p>
    <w:p w:rsidR="003F4CD4" w:rsidRDefault="003F4CD4" w:rsidP="003F4CD4">
      <w:pPr>
        <w:pStyle w:val="BodyText"/>
        <w:spacing w:after="0"/>
        <w:rPr>
          <w:szCs w:val="22"/>
        </w:rPr>
      </w:pPr>
      <w:r w:rsidRPr="00D011C8">
        <w:rPr>
          <w:szCs w:val="22"/>
        </w:rPr>
        <w:t>Polipropileninis buteliukas, kuriame yra 40 g tepalo, kartu 1,5 g talpos su matavimo šaukštu ir pakuotės lapeliu kartoninėje dėžutėje.</w:t>
      </w:r>
    </w:p>
    <w:p w:rsidR="003F4CD4" w:rsidRPr="00D011C8" w:rsidRDefault="003F4CD4" w:rsidP="003F4CD4">
      <w:pPr>
        <w:pStyle w:val="BTEMEASMCA"/>
      </w:pPr>
    </w:p>
    <w:p w:rsidR="003F4CD4" w:rsidRPr="00D011C8" w:rsidRDefault="003F4CD4" w:rsidP="003F4CD4">
      <w:pPr>
        <w:pStyle w:val="PI-3EMEASMCA"/>
      </w:pPr>
      <w:r w:rsidRPr="00D011C8">
        <w:t>Registruotojas  ir gamintojas</w:t>
      </w:r>
    </w:p>
    <w:p w:rsidR="003F4CD4" w:rsidRPr="00D011C8" w:rsidRDefault="003F4CD4" w:rsidP="003F4CD4">
      <w:r w:rsidRPr="00D011C8">
        <w:t>„Przedsiebiorstwo Produkcji Farmaceutycznej HASCO-LEK“ S.A.</w:t>
      </w:r>
    </w:p>
    <w:p w:rsidR="003F4CD4" w:rsidRPr="00D011C8" w:rsidRDefault="003F4CD4" w:rsidP="003F4CD4">
      <w:pPr>
        <w:pStyle w:val="BodyText"/>
        <w:spacing w:after="0"/>
        <w:rPr>
          <w:szCs w:val="22"/>
        </w:rPr>
      </w:pPr>
      <w:r w:rsidRPr="00D011C8">
        <w:rPr>
          <w:szCs w:val="22"/>
        </w:rPr>
        <w:t>Zmigrodzka 242E</w:t>
      </w:r>
    </w:p>
    <w:p w:rsidR="003F4CD4" w:rsidRPr="00D011C8" w:rsidRDefault="003F4CD4" w:rsidP="003F4CD4">
      <w:pPr>
        <w:pStyle w:val="BodyText"/>
        <w:spacing w:after="0"/>
        <w:rPr>
          <w:szCs w:val="22"/>
        </w:rPr>
      </w:pPr>
      <w:r w:rsidRPr="00D011C8">
        <w:rPr>
          <w:szCs w:val="22"/>
        </w:rPr>
        <w:t>51-131 Wroclaw</w:t>
      </w:r>
    </w:p>
    <w:p w:rsidR="003F4CD4" w:rsidRPr="00D011C8" w:rsidRDefault="003F4CD4" w:rsidP="003F4CD4">
      <w:pPr>
        <w:pStyle w:val="BodyText"/>
        <w:spacing w:after="0"/>
        <w:rPr>
          <w:szCs w:val="22"/>
        </w:rPr>
      </w:pPr>
      <w:r w:rsidRPr="00D011C8">
        <w:rPr>
          <w:szCs w:val="22"/>
        </w:rPr>
        <w:t>Lenkija</w:t>
      </w:r>
    </w:p>
    <w:p w:rsidR="003F4CD4" w:rsidRPr="00D011C8" w:rsidRDefault="003F4CD4" w:rsidP="003F4CD4">
      <w:pPr>
        <w:pStyle w:val="BodyText"/>
        <w:spacing w:after="0"/>
        <w:rPr>
          <w:szCs w:val="22"/>
        </w:rPr>
      </w:pPr>
      <w:r w:rsidRPr="00D011C8">
        <w:rPr>
          <w:szCs w:val="22"/>
        </w:rPr>
        <w:t xml:space="preserve">tel.: </w:t>
      </w:r>
      <w:r w:rsidRPr="00D011C8">
        <w:rPr>
          <w:szCs w:val="22"/>
          <w:lang w:val="pt-BR"/>
        </w:rPr>
        <w:t>+48 71 352 95 22</w:t>
      </w:r>
    </w:p>
    <w:p w:rsidR="003F4CD4" w:rsidRPr="00D011C8" w:rsidRDefault="003F4CD4" w:rsidP="003F4CD4">
      <w:pPr>
        <w:pStyle w:val="BodyText"/>
        <w:spacing w:after="0"/>
        <w:rPr>
          <w:szCs w:val="22"/>
        </w:rPr>
      </w:pPr>
      <w:r w:rsidRPr="00D011C8">
        <w:rPr>
          <w:szCs w:val="22"/>
        </w:rPr>
        <w:t xml:space="preserve">faksas: </w:t>
      </w:r>
      <w:r w:rsidRPr="00D011C8">
        <w:rPr>
          <w:szCs w:val="22"/>
          <w:lang w:val="nb-NO"/>
        </w:rPr>
        <w:t>+48 71 352 77 20</w:t>
      </w:r>
    </w:p>
    <w:p w:rsidR="003F4CD4" w:rsidRPr="00D011C8" w:rsidRDefault="003F4CD4" w:rsidP="003F4CD4">
      <w:pPr>
        <w:pStyle w:val="BodyText"/>
        <w:spacing w:after="0"/>
        <w:rPr>
          <w:szCs w:val="22"/>
          <w:lang w:val="nb-NO"/>
        </w:rPr>
      </w:pPr>
      <w:r w:rsidRPr="00D011C8">
        <w:rPr>
          <w:szCs w:val="22"/>
        </w:rPr>
        <w:t xml:space="preserve">el. paštas </w:t>
      </w:r>
      <w:r w:rsidRPr="00D011C8">
        <w:rPr>
          <w:szCs w:val="22"/>
          <w:lang w:val="nb-NO"/>
        </w:rPr>
        <w:t>hasco@hasco-lek.pl</w:t>
      </w:r>
    </w:p>
    <w:p w:rsidR="003F4CD4" w:rsidRPr="00D011C8" w:rsidRDefault="003F4CD4" w:rsidP="003F4CD4">
      <w:pPr>
        <w:pStyle w:val="BTEMEASMCA"/>
        <w:rPr>
          <w:lang w:val="nb-NO"/>
        </w:rPr>
      </w:pPr>
    </w:p>
    <w:p w:rsidR="003F4CD4" w:rsidRPr="00D011C8" w:rsidRDefault="003F4CD4" w:rsidP="003F4CD4">
      <w:pPr>
        <w:pStyle w:val="BTbEMEASMCA"/>
      </w:pPr>
      <w:r w:rsidRPr="00D011C8">
        <w:rPr>
          <w:bCs/>
        </w:rPr>
        <w:t>Šis pakuotės lapelis</w:t>
      </w:r>
      <w:r w:rsidRPr="00D011C8">
        <w:t xml:space="preserve"> paskutinį kartą peržiūrėtas </w:t>
      </w:r>
      <w:r>
        <w:t>2016-08-29</w:t>
      </w:r>
    </w:p>
    <w:p w:rsidR="003F4CD4" w:rsidRPr="00D011C8" w:rsidRDefault="003F4CD4" w:rsidP="003F4CD4">
      <w:pPr>
        <w:pStyle w:val="BTbEMEASMCA"/>
        <w:rPr>
          <w:b w:val="0"/>
        </w:rPr>
      </w:pPr>
    </w:p>
    <w:p w:rsidR="003F4CD4" w:rsidRDefault="003F4CD4" w:rsidP="003F4CD4">
      <w:pPr>
        <w:rPr>
          <w:rStyle w:val="Hyperlink"/>
        </w:rPr>
      </w:pPr>
      <w:r w:rsidRPr="00D011C8">
        <w:rPr>
          <w:noProof/>
        </w:rPr>
        <w:t>Išsami informacija apie šį vaistą pateikiama Valstybinės vaistų kontrolės tarnybos prie Lietuvos Respublikos  sveikatos apsaugos ministerijos tinklalapyje</w:t>
      </w:r>
      <w:r w:rsidRPr="00D011C8">
        <w:t xml:space="preserve"> </w:t>
      </w:r>
      <w:hyperlink r:id="rId8" w:history="1">
        <w:r w:rsidRPr="00D011C8">
          <w:rPr>
            <w:rStyle w:val="Hyperlink"/>
          </w:rPr>
          <w:t>http://www.vvkt.lt</w:t>
        </w:r>
      </w:hyperlink>
      <w:r w:rsidRPr="00D011C8">
        <w:rPr>
          <w:rStyle w:val="Hyperlink"/>
        </w:rPr>
        <w:t xml:space="preserve">.     </w:t>
      </w:r>
    </w:p>
    <w:p w:rsidR="003F4CD4" w:rsidRDefault="003F4CD4"/>
    <w:sectPr w:rsidR="003F4CD4">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F02CEA"/>
    <w:multiLevelType w:val="hybridMultilevel"/>
    <w:tmpl w:val="0BBEF5F0"/>
    <w:lvl w:ilvl="0" w:tplc="BD62DEDC">
      <w:start w:val="1"/>
      <w:numFmt w:val="bullet"/>
      <w:lvlRestart w:val="0"/>
      <w:pStyle w:val="BT-EMEASMCA"/>
      <w:lvlText w:val="-"/>
      <w:lvlJc w:val="left"/>
      <w:pPr>
        <w:tabs>
          <w:tab w:val="num" w:pos="720"/>
        </w:tabs>
        <w:ind w:left="720" w:hanging="363"/>
      </w:pPr>
      <w:rPr>
        <w:rFonts w:ascii="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D4"/>
    <w:rsid w:val="003F4C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710EC-1CF4-4D1A-96C0-C98B6436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4CD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3F4CD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4CD4"/>
    <w:rPr>
      <w:color w:val="0000FF"/>
      <w:u w:val="single"/>
    </w:rPr>
  </w:style>
  <w:style w:type="paragraph" w:customStyle="1" w:styleId="PI-1EMEASMCA">
    <w:name w:val="PI-1 EMEA_SMCA"/>
    <w:basedOn w:val="Heading2"/>
    <w:autoRedefine/>
    <w:rsid w:val="003F4CD4"/>
    <w:pPr>
      <w:keepLines w:val="0"/>
      <w:tabs>
        <w:tab w:val="left" w:pos="567"/>
      </w:tabs>
      <w:spacing w:before="0" w:line="240" w:lineRule="auto"/>
    </w:pPr>
    <w:rPr>
      <w:rFonts w:ascii="Times New Roman" w:eastAsia="Times New Roman" w:hAnsi="Times New Roman" w:cs="Times New Roman"/>
      <w:b/>
      <w:color w:val="auto"/>
      <w:sz w:val="22"/>
      <w:szCs w:val="22"/>
      <w:lang w:val="lt-LT"/>
    </w:rPr>
  </w:style>
  <w:style w:type="paragraph" w:customStyle="1" w:styleId="BTEMEASMCA">
    <w:name w:val="BT EMEA_SMCA"/>
    <w:basedOn w:val="Normal"/>
    <w:link w:val="BTEMEASMCAChar"/>
    <w:autoRedefine/>
    <w:rsid w:val="003F4CD4"/>
    <w:pPr>
      <w:spacing w:after="0" w:line="240" w:lineRule="auto"/>
      <w:ind w:right="-1"/>
    </w:pPr>
    <w:rPr>
      <w:rFonts w:ascii="Times New Roman" w:eastAsia="Times New Roman" w:hAnsi="Times New Roman" w:cs="Times New Roman"/>
      <w:noProof/>
      <w:lang w:val="lt-LT"/>
    </w:rPr>
  </w:style>
  <w:style w:type="paragraph" w:customStyle="1" w:styleId="TTEMEASMCA">
    <w:name w:val="TT EMEA_SMCA"/>
    <w:basedOn w:val="Heading1"/>
    <w:link w:val="TTEMEASMCAChar"/>
    <w:autoRedefine/>
    <w:rsid w:val="003F4CD4"/>
    <w:pPr>
      <w:keepNext w:val="0"/>
      <w:keepLines w:val="0"/>
      <w:tabs>
        <w:tab w:val="left" w:pos="567"/>
      </w:tabs>
      <w:spacing w:before="0" w:line="240" w:lineRule="auto"/>
      <w:ind w:left="567" w:hanging="567"/>
      <w:jc w:val="center"/>
    </w:pPr>
    <w:rPr>
      <w:rFonts w:ascii="Times New Roman" w:eastAsia="Times New Roman" w:hAnsi="Times New Roman" w:cs="Times New Roman"/>
      <w:b/>
      <w:color w:val="auto"/>
      <w:sz w:val="22"/>
      <w:szCs w:val="22"/>
      <w:lang w:val="lt-LT" w:eastAsia="x-none"/>
    </w:rPr>
  </w:style>
  <w:style w:type="character" w:customStyle="1" w:styleId="TTEMEASMCAChar">
    <w:name w:val="TT EMEA_SMCA Char"/>
    <w:link w:val="TTEMEASMCA"/>
    <w:rsid w:val="003F4CD4"/>
    <w:rPr>
      <w:rFonts w:ascii="Times New Roman" w:eastAsia="Times New Roman" w:hAnsi="Times New Roman" w:cs="Times New Roman"/>
      <w:b/>
      <w:lang w:val="lt-LT" w:eastAsia="x-none"/>
    </w:rPr>
  </w:style>
  <w:style w:type="paragraph" w:customStyle="1" w:styleId="BT-EMEASMCA">
    <w:name w:val="BT- EMEA_SMCA"/>
    <w:basedOn w:val="BTEMEASMCA"/>
    <w:autoRedefine/>
    <w:rsid w:val="003F4CD4"/>
    <w:pPr>
      <w:numPr>
        <w:numId w:val="1"/>
      </w:numPr>
    </w:pPr>
  </w:style>
  <w:style w:type="paragraph" w:customStyle="1" w:styleId="PI-3EMEASMCA">
    <w:name w:val="PI-3 EMEA_SMCA"/>
    <w:basedOn w:val="Normal"/>
    <w:autoRedefine/>
    <w:rsid w:val="003F4CD4"/>
    <w:pPr>
      <w:spacing w:after="0" w:line="220" w:lineRule="exact"/>
    </w:pPr>
    <w:rPr>
      <w:rFonts w:ascii="Times New Roman" w:eastAsia="Times New Roman" w:hAnsi="Times New Roman" w:cs="Times New Roman"/>
      <w:b/>
      <w:bCs/>
      <w:lang w:val="lt-LT"/>
    </w:rPr>
  </w:style>
  <w:style w:type="paragraph" w:customStyle="1" w:styleId="BTbEMEASMCA">
    <w:name w:val="BT(b) EMEA_SMCA"/>
    <w:basedOn w:val="BTEMEASMCA"/>
    <w:autoRedefine/>
    <w:rsid w:val="003F4CD4"/>
    <w:rPr>
      <w:b/>
    </w:rPr>
  </w:style>
  <w:style w:type="character" w:customStyle="1" w:styleId="BTEMEASMCAChar">
    <w:name w:val="BT EMEA_SMCA Char"/>
    <w:link w:val="BTEMEASMCA"/>
    <w:rsid w:val="003F4CD4"/>
    <w:rPr>
      <w:rFonts w:ascii="Times New Roman" w:eastAsia="Times New Roman" w:hAnsi="Times New Roman" w:cs="Times New Roman"/>
      <w:noProof/>
      <w:lang w:val="lt-LT"/>
    </w:rPr>
  </w:style>
  <w:style w:type="paragraph" w:styleId="BodyText">
    <w:name w:val="Body Text"/>
    <w:basedOn w:val="Normal"/>
    <w:link w:val="BodyTextChar"/>
    <w:rsid w:val="003F4CD4"/>
    <w:pPr>
      <w:spacing w:after="120" w:line="240" w:lineRule="auto"/>
    </w:pPr>
    <w:rPr>
      <w:rFonts w:ascii="Times New Roman" w:eastAsia="Times New Roman" w:hAnsi="Times New Roman" w:cs="Times New Roman"/>
      <w:szCs w:val="20"/>
      <w:lang w:val="lt-LT" w:eastAsia="lt-LT"/>
    </w:rPr>
  </w:style>
  <w:style w:type="character" w:customStyle="1" w:styleId="BodyTextChar">
    <w:name w:val="Body Text Char"/>
    <w:basedOn w:val="DefaultParagraphFont"/>
    <w:link w:val="BodyText"/>
    <w:rsid w:val="003F4CD4"/>
    <w:rPr>
      <w:rFonts w:ascii="Times New Roman" w:eastAsia="Times New Roman" w:hAnsi="Times New Roman" w:cs="Times New Roman"/>
      <w:szCs w:val="20"/>
      <w:lang w:val="lt-LT" w:eastAsia="lt-LT"/>
    </w:rPr>
  </w:style>
  <w:style w:type="paragraph" w:styleId="BodyText2">
    <w:name w:val="Body Text 2"/>
    <w:basedOn w:val="Normal"/>
    <w:link w:val="BodyText2Char"/>
    <w:rsid w:val="003F4CD4"/>
    <w:pPr>
      <w:spacing w:after="120" w:line="480" w:lineRule="auto"/>
    </w:pPr>
    <w:rPr>
      <w:rFonts w:ascii="Times New Roman" w:eastAsia="Times New Roman" w:hAnsi="Times New Roman" w:cs="Times New Roman"/>
      <w:sz w:val="24"/>
      <w:szCs w:val="24"/>
      <w:lang w:val="lt-LT"/>
    </w:rPr>
  </w:style>
  <w:style w:type="character" w:customStyle="1" w:styleId="BodyText2Char">
    <w:name w:val="Body Text 2 Char"/>
    <w:basedOn w:val="DefaultParagraphFont"/>
    <w:link w:val="BodyText2"/>
    <w:rsid w:val="003F4CD4"/>
    <w:rPr>
      <w:rFonts w:ascii="Times New Roman" w:eastAsia="Times New Roman" w:hAnsi="Times New Roman" w:cs="Times New Roman"/>
      <w:sz w:val="24"/>
      <w:szCs w:val="24"/>
      <w:lang w:val="lt-LT"/>
    </w:rPr>
  </w:style>
  <w:style w:type="paragraph" w:customStyle="1" w:styleId="TabletextrowsAgency">
    <w:name w:val="Table text rows (Agency)"/>
    <w:basedOn w:val="Normal"/>
    <w:rsid w:val="003F4CD4"/>
    <w:pPr>
      <w:spacing w:after="0" w:line="280" w:lineRule="exact"/>
    </w:pPr>
    <w:rPr>
      <w:rFonts w:ascii="Verdana" w:eastAsia="SimSun" w:hAnsi="Verdana" w:cs="Verdana"/>
      <w:sz w:val="18"/>
      <w:szCs w:val="18"/>
      <w:lang w:val="en-GB" w:eastAsia="zh-CN"/>
    </w:rPr>
  </w:style>
  <w:style w:type="character" w:customStyle="1" w:styleId="Heading2Char">
    <w:name w:val="Heading 2 Char"/>
    <w:basedOn w:val="DefaultParagraphFont"/>
    <w:link w:val="Heading2"/>
    <w:uiPriority w:val="9"/>
    <w:semiHidden/>
    <w:rsid w:val="003F4CD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3F4CD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1158</Words>
  <Characters>6605</Characters>
  <Application>Microsoft Office Word</Application>
  <DocSecurity>0</DocSecurity>
  <Lines>55</Lines>
  <Paragraphs>15</Paragraphs>
  <ScaleCrop>false</ScaleCrop>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2021-02-08T14:30:00Z</dcterms:created>
  <dcterms:modified xsi:type="dcterms:W3CDTF">2021-02-08T14:30:00Z</dcterms:modified>
</cp:coreProperties>
</file>