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4EC85" w14:textId="77777777" w:rsidR="001912EB" w:rsidRDefault="001912EB" w:rsidP="001912EB">
      <w:pPr>
        <w:ind w:left="2701"/>
        <w:rPr>
          <w:sz w:val="20"/>
          <w:szCs w:val="20"/>
        </w:rPr>
      </w:pPr>
      <w:r>
        <w:rPr>
          <w:rFonts w:eastAsia="Times New Roman"/>
          <w:b/>
          <w:bCs/>
        </w:rPr>
        <w:t>Pakuotės lapelis: informacija pacientui</w:t>
      </w:r>
    </w:p>
    <w:p w14:paraId="4E22563A" w14:textId="77777777" w:rsidR="001912EB" w:rsidRDefault="001912EB" w:rsidP="001912EB">
      <w:pPr>
        <w:spacing w:line="254" w:lineRule="exact"/>
        <w:rPr>
          <w:sz w:val="20"/>
          <w:szCs w:val="20"/>
        </w:rPr>
      </w:pPr>
    </w:p>
    <w:p w14:paraId="1652BEFC" w14:textId="77777777" w:rsidR="001912EB" w:rsidRDefault="001912EB" w:rsidP="001912EB">
      <w:pPr>
        <w:ind w:left="2101"/>
        <w:rPr>
          <w:sz w:val="20"/>
          <w:szCs w:val="20"/>
        </w:rPr>
      </w:pPr>
      <w:r>
        <w:rPr>
          <w:rFonts w:eastAsia="Times New Roman"/>
          <w:b/>
          <w:bCs/>
        </w:rPr>
        <w:t>Keppra 100 mg/ml koncentratas infuziniam tirpalui</w:t>
      </w:r>
    </w:p>
    <w:p w14:paraId="7F75857C" w14:textId="77777777" w:rsidR="001912EB" w:rsidRDefault="001912EB" w:rsidP="001912EB">
      <w:pPr>
        <w:jc w:val="center"/>
        <w:rPr>
          <w:sz w:val="20"/>
          <w:szCs w:val="20"/>
        </w:rPr>
      </w:pPr>
      <w:r>
        <w:rPr>
          <w:rFonts w:eastAsia="Times New Roman"/>
        </w:rPr>
        <w:t>Levetiracetamas</w:t>
      </w:r>
    </w:p>
    <w:p w14:paraId="5A8EF23D" w14:textId="77777777" w:rsidR="001912EB" w:rsidRDefault="001912EB" w:rsidP="001912EB">
      <w:pPr>
        <w:spacing w:line="255" w:lineRule="exact"/>
        <w:rPr>
          <w:sz w:val="20"/>
          <w:szCs w:val="20"/>
        </w:rPr>
      </w:pPr>
    </w:p>
    <w:p w14:paraId="38EFE24E" w14:textId="77777777" w:rsidR="001912EB" w:rsidRDefault="001912EB" w:rsidP="001912EB">
      <w:pPr>
        <w:spacing w:line="238" w:lineRule="auto"/>
        <w:ind w:left="1" w:right="40"/>
        <w:rPr>
          <w:sz w:val="20"/>
          <w:szCs w:val="20"/>
        </w:rPr>
      </w:pPr>
      <w:r>
        <w:rPr>
          <w:rFonts w:eastAsia="Times New Roman"/>
          <w:b/>
          <w:bCs/>
        </w:rPr>
        <w:t>Atidžiai perskaitykite visą šį lapelį, prieš Jums ar Jūsų vaikui pradedant vartoti vaistą, nes jame pateikiama Jums svarbi informacija.</w:t>
      </w:r>
    </w:p>
    <w:p w14:paraId="65C9A380" w14:textId="77777777" w:rsidR="001912EB" w:rsidRDefault="001912EB" w:rsidP="001912EB">
      <w:pPr>
        <w:spacing w:line="1" w:lineRule="exact"/>
        <w:rPr>
          <w:sz w:val="20"/>
          <w:szCs w:val="20"/>
        </w:rPr>
      </w:pPr>
    </w:p>
    <w:p w14:paraId="03924530" w14:textId="77777777" w:rsidR="001912EB" w:rsidRDefault="001912EB" w:rsidP="001912EB">
      <w:pPr>
        <w:numPr>
          <w:ilvl w:val="0"/>
          <w:numId w:val="1"/>
        </w:numPr>
        <w:tabs>
          <w:tab w:val="left" w:pos="561"/>
        </w:tabs>
        <w:ind w:left="561" w:hanging="561"/>
        <w:rPr>
          <w:rFonts w:eastAsia="Times New Roman"/>
        </w:rPr>
      </w:pPr>
      <w:r>
        <w:rPr>
          <w:rFonts w:eastAsia="Times New Roman"/>
        </w:rPr>
        <w:t>Neišmeskite šio lapelio, nes vėl gali prireikti jį perskaityti.</w:t>
      </w:r>
    </w:p>
    <w:p w14:paraId="1D74F431" w14:textId="77777777" w:rsidR="001912EB" w:rsidRDefault="001912EB" w:rsidP="001912EB">
      <w:pPr>
        <w:spacing w:line="1" w:lineRule="exact"/>
        <w:rPr>
          <w:rFonts w:eastAsia="Times New Roman"/>
        </w:rPr>
      </w:pPr>
    </w:p>
    <w:p w14:paraId="2AC8C6A8" w14:textId="77777777" w:rsidR="001912EB" w:rsidRDefault="001912EB" w:rsidP="001912EB">
      <w:pPr>
        <w:numPr>
          <w:ilvl w:val="0"/>
          <w:numId w:val="1"/>
        </w:numPr>
        <w:tabs>
          <w:tab w:val="left" w:pos="561"/>
        </w:tabs>
        <w:ind w:left="561" w:hanging="561"/>
        <w:rPr>
          <w:rFonts w:eastAsia="Times New Roman"/>
        </w:rPr>
      </w:pPr>
      <w:r>
        <w:rPr>
          <w:rFonts w:eastAsia="Times New Roman"/>
        </w:rPr>
        <w:t>Jeigu kiltų daugiau klausimų, kreipkitės į gydytoją arba vaistininką.</w:t>
      </w:r>
    </w:p>
    <w:p w14:paraId="7379E01D" w14:textId="77777777" w:rsidR="001912EB" w:rsidRDefault="001912EB" w:rsidP="001912EB">
      <w:pPr>
        <w:numPr>
          <w:ilvl w:val="0"/>
          <w:numId w:val="1"/>
        </w:numPr>
        <w:tabs>
          <w:tab w:val="left" w:pos="561"/>
        </w:tabs>
        <w:ind w:left="561" w:right="740" w:hanging="561"/>
        <w:rPr>
          <w:rFonts w:eastAsia="Times New Roman"/>
        </w:rPr>
      </w:pPr>
      <w:r>
        <w:rPr>
          <w:rFonts w:eastAsia="Times New Roman"/>
        </w:rPr>
        <w:t>Šis vaistas skirtas tik Jums, todėl kitiems žmonėms jo duoti negalima. Vaistas gali jiems pakenkti (net tiems, kurių ligos požymiai yra tokie patys kaip Jūsų).</w:t>
      </w:r>
    </w:p>
    <w:p w14:paraId="2597A482" w14:textId="77777777" w:rsidR="001912EB" w:rsidRDefault="001912EB" w:rsidP="001912EB">
      <w:pPr>
        <w:numPr>
          <w:ilvl w:val="0"/>
          <w:numId w:val="1"/>
        </w:numPr>
        <w:tabs>
          <w:tab w:val="left" w:pos="601"/>
        </w:tabs>
        <w:spacing w:line="279" w:lineRule="auto"/>
        <w:ind w:left="601" w:right="700" w:hanging="601"/>
        <w:rPr>
          <w:rFonts w:eastAsia="Times New Roman"/>
        </w:rPr>
      </w:pPr>
      <w:r>
        <w:rPr>
          <w:rFonts w:eastAsia="Times New Roman"/>
        </w:rPr>
        <w:t>Jeigu pasireiškė šalutinis poveikis (net jeigu jis šiame lapelyje nenurodytas), kreipkitės į gydytoją arba vaistininką. Žr. 4 skyrių.</w:t>
      </w:r>
    </w:p>
    <w:p w14:paraId="458EDF53" w14:textId="77777777" w:rsidR="001912EB" w:rsidRDefault="001912EB" w:rsidP="001912EB">
      <w:pPr>
        <w:spacing w:line="171" w:lineRule="exact"/>
        <w:rPr>
          <w:sz w:val="20"/>
          <w:szCs w:val="20"/>
        </w:rPr>
      </w:pPr>
    </w:p>
    <w:p w14:paraId="151A53AA" w14:textId="77777777" w:rsidR="001912EB" w:rsidRDefault="001912EB" w:rsidP="001912EB">
      <w:pPr>
        <w:ind w:left="1"/>
        <w:rPr>
          <w:sz w:val="20"/>
          <w:szCs w:val="20"/>
        </w:rPr>
      </w:pPr>
      <w:r>
        <w:rPr>
          <w:rFonts w:eastAsia="Times New Roman"/>
          <w:b/>
          <w:bCs/>
        </w:rPr>
        <w:t>Apie ką rašoma šiame lapelyje?</w:t>
      </w:r>
    </w:p>
    <w:p w14:paraId="2E085270" w14:textId="77777777" w:rsidR="001912EB" w:rsidRDefault="001912EB" w:rsidP="001912EB">
      <w:pPr>
        <w:numPr>
          <w:ilvl w:val="0"/>
          <w:numId w:val="2"/>
        </w:numPr>
        <w:tabs>
          <w:tab w:val="left" w:pos="561"/>
        </w:tabs>
        <w:ind w:left="561" w:hanging="561"/>
        <w:rPr>
          <w:rFonts w:eastAsia="Times New Roman"/>
        </w:rPr>
      </w:pPr>
      <w:r>
        <w:rPr>
          <w:rFonts w:eastAsia="Times New Roman"/>
        </w:rPr>
        <w:t>Kas yra Keppra ir kam jis vartojamas</w:t>
      </w:r>
    </w:p>
    <w:p w14:paraId="104F5693" w14:textId="77777777" w:rsidR="001912EB" w:rsidRDefault="001912EB" w:rsidP="001912EB">
      <w:pPr>
        <w:numPr>
          <w:ilvl w:val="0"/>
          <w:numId w:val="2"/>
        </w:numPr>
        <w:tabs>
          <w:tab w:val="left" w:pos="561"/>
        </w:tabs>
        <w:ind w:left="561" w:hanging="561"/>
        <w:rPr>
          <w:rFonts w:eastAsia="Times New Roman"/>
        </w:rPr>
      </w:pPr>
      <w:r>
        <w:rPr>
          <w:rFonts w:eastAsia="Times New Roman"/>
        </w:rPr>
        <w:t>Kas žinotina prieš vartojant Keppra</w:t>
      </w:r>
    </w:p>
    <w:p w14:paraId="4EB90E9B" w14:textId="77777777" w:rsidR="001912EB" w:rsidRDefault="001912EB" w:rsidP="001912EB">
      <w:pPr>
        <w:numPr>
          <w:ilvl w:val="0"/>
          <w:numId w:val="2"/>
        </w:numPr>
        <w:tabs>
          <w:tab w:val="left" w:pos="561"/>
        </w:tabs>
        <w:ind w:left="561" w:hanging="561"/>
        <w:rPr>
          <w:rFonts w:eastAsia="Times New Roman"/>
        </w:rPr>
      </w:pPr>
      <w:r>
        <w:rPr>
          <w:rFonts w:eastAsia="Times New Roman"/>
        </w:rPr>
        <w:t>Kaip vartoti Keppra</w:t>
      </w:r>
    </w:p>
    <w:p w14:paraId="2C723BE8" w14:textId="77777777" w:rsidR="001912EB" w:rsidRDefault="001912EB" w:rsidP="001912EB">
      <w:pPr>
        <w:spacing w:line="1" w:lineRule="exact"/>
        <w:rPr>
          <w:rFonts w:eastAsia="Times New Roman"/>
        </w:rPr>
      </w:pPr>
    </w:p>
    <w:p w14:paraId="357106D4" w14:textId="77777777" w:rsidR="001912EB" w:rsidRDefault="001912EB" w:rsidP="001912EB">
      <w:pPr>
        <w:numPr>
          <w:ilvl w:val="0"/>
          <w:numId w:val="2"/>
        </w:numPr>
        <w:tabs>
          <w:tab w:val="left" w:pos="561"/>
        </w:tabs>
        <w:ind w:left="561" w:hanging="561"/>
        <w:rPr>
          <w:rFonts w:eastAsia="Times New Roman"/>
        </w:rPr>
      </w:pPr>
      <w:r>
        <w:rPr>
          <w:rFonts w:eastAsia="Times New Roman"/>
        </w:rPr>
        <w:t>Galimas šalutinis poveikis</w:t>
      </w:r>
    </w:p>
    <w:p w14:paraId="4C1FBACC" w14:textId="77777777" w:rsidR="001912EB" w:rsidRDefault="001912EB" w:rsidP="001912EB">
      <w:pPr>
        <w:numPr>
          <w:ilvl w:val="0"/>
          <w:numId w:val="2"/>
        </w:numPr>
        <w:tabs>
          <w:tab w:val="left" w:pos="561"/>
        </w:tabs>
        <w:ind w:left="561" w:hanging="561"/>
        <w:rPr>
          <w:rFonts w:eastAsia="Times New Roman"/>
        </w:rPr>
      </w:pPr>
      <w:r>
        <w:rPr>
          <w:rFonts w:eastAsia="Times New Roman"/>
        </w:rPr>
        <w:t>Kai laikyti Keppra</w:t>
      </w:r>
    </w:p>
    <w:p w14:paraId="784DFE65" w14:textId="77777777" w:rsidR="001912EB" w:rsidRDefault="001912EB" w:rsidP="001912EB">
      <w:pPr>
        <w:spacing w:line="1" w:lineRule="exact"/>
        <w:rPr>
          <w:rFonts w:eastAsia="Times New Roman"/>
        </w:rPr>
      </w:pPr>
    </w:p>
    <w:p w14:paraId="6325642C" w14:textId="77777777" w:rsidR="001912EB" w:rsidRDefault="001912EB" w:rsidP="001912EB">
      <w:pPr>
        <w:numPr>
          <w:ilvl w:val="0"/>
          <w:numId w:val="2"/>
        </w:numPr>
        <w:tabs>
          <w:tab w:val="left" w:pos="561"/>
        </w:tabs>
        <w:ind w:left="561" w:hanging="561"/>
        <w:rPr>
          <w:rFonts w:eastAsia="Times New Roman"/>
        </w:rPr>
      </w:pPr>
      <w:r>
        <w:rPr>
          <w:rFonts w:eastAsia="Times New Roman"/>
        </w:rPr>
        <w:t>Pakuotės turinys ir kita informacija</w:t>
      </w:r>
    </w:p>
    <w:p w14:paraId="2C80D303" w14:textId="77777777" w:rsidR="001912EB" w:rsidRDefault="001912EB" w:rsidP="001912EB">
      <w:pPr>
        <w:spacing w:line="200" w:lineRule="exact"/>
        <w:rPr>
          <w:sz w:val="20"/>
          <w:szCs w:val="20"/>
        </w:rPr>
      </w:pPr>
    </w:p>
    <w:p w14:paraId="652BEA90" w14:textId="77777777" w:rsidR="001912EB" w:rsidRDefault="001912EB" w:rsidP="001912EB">
      <w:pPr>
        <w:spacing w:line="307" w:lineRule="exact"/>
        <w:rPr>
          <w:sz w:val="20"/>
          <w:szCs w:val="20"/>
        </w:rPr>
      </w:pPr>
    </w:p>
    <w:p w14:paraId="60D2734C" w14:textId="77777777" w:rsidR="001912EB" w:rsidRDefault="001912EB" w:rsidP="001912EB">
      <w:pPr>
        <w:numPr>
          <w:ilvl w:val="0"/>
          <w:numId w:val="3"/>
        </w:numPr>
        <w:tabs>
          <w:tab w:val="left" w:pos="561"/>
        </w:tabs>
        <w:ind w:left="561" w:hanging="561"/>
        <w:rPr>
          <w:rFonts w:eastAsia="Times New Roman"/>
          <w:b/>
          <w:bCs/>
        </w:rPr>
      </w:pPr>
      <w:r>
        <w:rPr>
          <w:rFonts w:eastAsia="Times New Roman"/>
          <w:b/>
          <w:bCs/>
        </w:rPr>
        <w:t>Kas yra Keppra ir kam jis vartojamas</w:t>
      </w:r>
    </w:p>
    <w:p w14:paraId="049E1469" w14:textId="77777777" w:rsidR="001912EB" w:rsidRDefault="001912EB" w:rsidP="001912EB">
      <w:pPr>
        <w:spacing w:line="252" w:lineRule="exact"/>
        <w:rPr>
          <w:sz w:val="20"/>
          <w:szCs w:val="20"/>
        </w:rPr>
      </w:pPr>
    </w:p>
    <w:p w14:paraId="3F81C5E7" w14:textId="77777777" w:rsidR="001912EB" w:rsidRDefault="001912EB" w:rsidP="001912EB">
      <w:pPr>
        <w:ind w:left="1"/>
        <w:rPr>
          <w:sz w:val="20"/>
          <w:szCs w:val="20"/>
        </w:rPr>
      </w:pPr>
      <w:r>
        <w:rPr>
          <w:rFonts w:eastAsia="Times New Roman"/>
        </w:rPr>
        <w:t>Levetiracetamas yra vaistas nuo epilepsijos (vaistas epilepsijos priepuoliams gydyti).</w:t>
      </w:r>
    </w:p>
    <w:p w14:paraId="70920CE0" w14:textId="77777777" w:rsidR="001912EB" w:rsidRDefault="001912EB" w:rsidP="001912EB">
      <w:pPr>
        <w:spacing w:line="253" w:lineRule="exact"/>
        <w:rPr>
          <w:sz w:val="20"/>
          <w:szCs w:val="20"/>
        </w:rPr>
      </w:pPr>
    </w:p>
    <w:p w14:paraId="2E04E509" w14:textId="77777777" w:rsidR="001912EB" w:rsidRDefault="001912EB" w:rsidP="001912EB">
      <w:pPr>
        <w:ind w:left="1"/>
        <w:rPr>
          <w:sz w:val="20"/>
          <w:szCs w:val="20"/>
        </w:rPr>
      </w:pPr>
      <w:r>
        <w:rPr>
          <w:rFonts w:eastAsia="Times New Roman"/>
        </w:rPr>
        <w:t>Keppra skiriamas:</w:t>
      </w:r>
    </w:p>
    <w:p w14:paraId="0CD36742" w14:textId="77777777" w:rsidR="001912EB" w:rsidRDefault="001912EB" w:rsidP="001912EB">
      <w:pPr>
        <w:spacing w:line="14" w:lineRule="exact"/>
        <w:rPr>
          <w:sz w:val="20"/>
          <w:szCs w:val="20"/>
        </w:rPr>
      </w:pPr>
    </w:p>
    <w:p w14:paraId="252D126A" w14:textId="77777777" w:rsidR="001912EB" w:rsidRDefault="001912EB" w:rsidP="001912EB">
      <w:pPr>
        <w:spacing w:line="242" w:lineRule="auto"/>
        <w:ind w:left="541"/>
        <w:rPr>
          <w:sz w:val="20"/>
          <w:szCs w:val="20"/>
        </w:rPr>
      </w:pPr>
      <w:r>
        <w:rPr>
          <w:rFonts w:eastAsia="Times New Roman"/>
        </w:rPr>
        <w:t>monoterapijai gydant tam tikrą epilepsijos formą, vyresniems nei 16 metų, kuriems naujai diagnozuota epilepsija. Epilepsija – tai būklė, kai pacientams būna pasikartojantys traukulių priepuoliai. Levetiracetamas vartojamas, esant epilepsijos formai, kada priepuolis iš pradžių paveikia tiktai vieną smegenų pusę, bet po to gali išplisti didesniame plote į abi smegenų puses (daliniai traukuliai su antrine generalizacija arba be jos). Levetiracetamą Jums gydytojas paskyrė siekdamas sumažinti priepuolių skaičių.</w:t>
      </w:r>
    </w:p>
    <w:p w14:paraId="4D283244" w14:textId="77777777" w:rsidR="001912EB" w:rsidRDefault="001912EB" w:rsidP="001912EB">
      <w:pPr>
        <w:spacing w:line="3" w:lineRule="exact"/>
        <w:rPr>
          <w:sz w:val="20"/>
          <w:szCs w:val="20"/>
        </w:rPr>
      </w:pPr>
    </w:p>
    <w:p w14:paraId="1A1D38AA" w14:textId="77777777" w:rsidR="001912EB" w:rsidRDefault="001912EB" w:rsidP="001912EB">
      <w:pPr>
        <w:ind w:left="1"/>
        <w:rPr>
          <w:sz w:val="20"/>
          <w:szCs w:val="20"/>
        </w:rPr>
      </w:pPr>
      <w:r>
        <w:rPr>
          <w:rFonts w:eastAsia="Times New Roman"/>
        </w:rPr>
        <w:t>papildomam gydymui su kitais vaistais nuo epilepsijos:</w:t>
      </w:r>
    </w:p>
    <w:p w14:paraId="6E13A30D" w14:textId="77777777" w:rsidR="001912EB" w:rsidRDefault="001912EB" w:rsidP="001912EB">
      <w:pPr>
        <w:spacing w:line="1" w:lineRule="exact"/>
        <w:rPr>
          <w:sz w:val="20"/>
          <w:szCs w:val="20"/>
        </w:rPr>
      </w:pPr>
    </w:p>
    <w:p w14:paraId="02632D00" w14:textId="77777777" w:rsidR="001912EB" w:rsidRDefault="001912EB" w:rsidP="001912EB">
      <w:pPr>
        <w:numPr>
          <w:ilvl w:val="1"/>
          <w:numId w:val="4"/>
        </w:numPr>
        <w:tabs>
          <w:tab w:val="left" w:pos="721"/>
        </w:tabs>
        <w:ind w:left="721" w:right="920" w:hanging="361"/>
        <w:rPr>
          <w:rFonts w:ascii="Wingdings" w:eastAsia="Wingdings" w:hAnsi="Wingdings" w:cs="Wingdings"/>
        </w:rPr>
      </w:pPr>
      <w:r>
        <w:rPr>
          <w:rFonts w:eastAsia="Times New Roman"/>
        </w:rPr>
        <w:t>gydant židininiams priepuoliams su antrine generalizacija ar be jos, suaugusiesiems, paaugliams, vaikams nuo 4 metų amžiaus</w:t>
      </w:r>
    </w:p>
    <w:p w14:paraId="31C21578" w14:textId="77777777" w:rsidR="001912EB" w:rsidRDefault="001912EB" w:rsidP="001912EB">
      <w:pPr>
        <w:numPr>
          <w:ilvl w:val="1"/>
          <w:numId w:val="4"/>
        </w:numPr>
        <w:tabs>
          <w:tab w:val="left" w:pos="721"/>
        </w:tabs>
        <w:ind w:left="721" w:right="100" w:hanging="361"/>
        <w:rPr>
          <w:rFonts w:ascii="Wingdings" w:eastAsia="Wingdings" w:hAnsi="Wingdings" w:cs="Wingdings"/>
        </w:rPr>
      </w:pPr>
      <w:r>
        <w:rPr>
          <w:rFonts w:eastAsia="Times New Roman"/>
        </w:rPr>
        <w:t>miokloniniams traukuliams (trumpalaikiams staigiems raumenų ar raumenų grupių trūkčiojimams), suaugusiesiems ir paaugliams nuo 12 metų amžiaus su juveniline mioklonine epilepsija</w:t>
      </w:r>
    </w:p>
    <w:p w14:paraId="7DBE6679" w14:textId="77777777" w:rsidR="001912EB" w:rsidRDefault="001912EB" w:rsidP="001912EB">
      <w:pPr>
        <w:numPr>
          <w:ilvl w:val="1"/>
          <w:numId w:val="4"/>
        </w:numPr>
        <w:tabs>
          <w:tab w:val="left" w:pos="721"/>
        </w:tabs>
        <w:spacing w:line="260" w:lineRule="auto"/>
        <w:ind w:left="721" w:hanging="361"/>
        <w:rPr>
          <w:rFonts w:ascii="Wingdings" w:eastAsia="Wingdings" w:hAnsi="Wingdings" w:cs="Wingdings"/>
        </w:rPr>
      </w:pPr>
      <w:r>
        <w:rPr>
          <w:rFonts w:eastAsia="Times New Roman"/>
        </w:rPr>
        <w:t>pirminiams generalizuotiems toniniams-kloniniams traukuliams (stipriems priepuoliams, kurių metu prarandama sąmonė), suaugusiesiems ir paaugliams nuo 12 metų amžiaus, sergantiems idiopatine generalizuota epilepsija (manoma, kad ji turi genetinę priežastį).</w:t>
      </w:r>
    </w:p>
    <w:p w14:paraId="0C6E248D" w14:textId="77777777" w:rsidR="001912EB" w:rsidRDefault="001912EB" w:rsidP="001912EB">
      <w:pPr>
        <w:spacing w:line="191" w:lineRule="exact"/>
        <w:rPr>
          <w:sz w:val="20"/>
          <w:szCs w:val="20"/>
        </w:rPr>
      </w:pPr>
    </w:p>
    <w:p w14:paraId="787CDA9C" w14:textId="77777777" w:rsidR="001912EB" w:rsidRDefault="001912EB" w:rsidP="001912EB">
      <w:pPr>
        <w:spacing w:line="279" w:lineRule="auto"/>
        <w:ind w:left="1" w:right="60"/>
        <w:rPr>
          <w:sz w:val="20"/>
          <w:szCs w:val="20"/>
        </w:rPr>
      </w:pPr>
      <w:r>
        <w:rPr>
          <w:rFonts w:eastAsia="Times New Roman"/>
        </w:rPr>
        <w:t>Keppra koncentratas infuziniam tirpalui yra alternatyvi vaisto forma pacientams, kai jie laikinai negali vaisto gerti.</w:t>
      </w:r>
    </w:p>
    <w:p w14:paraId="68DB8503" w14:textId="77777777" w:rsidR="001912EB" w:rsidRDefault="001912EB" w:rsidP="001912EB">
      <w:pPr>
        <w:spacing w:line="200" w:lineRule="exact"/>
        <w:rPr>
          <w:sz w:val="20"/>
          <w:szCs w:val="20"/>
        </w:rPr>
      </w:pPr>
    </w:p>
    <w:p w14:paraId="488AA51F" w14:textId="77777777" w:rsidR="001912EB" w:rsidRDefault="001912EB" w:rsidP="001912EB">
      <w:pPr>
        <w:spacing w:line="223" w:lineRule="exact"/>
        <w:rPr>
          <w:sz w:val="20"/>
          <w:szCs w:val="20"/>
        </w:rPr>
      </w:pPr>
    </w:p>
    <w:p w14:paraId="09ED78B9" w14:textId="77777777" w:rsidR="001912EB" w:rsidRDefault="001912EB" w:rsidP="001912EB">
      <w:pPr>
        <w:numPr>
          <w:ilvl w:val="0"/>
          <w:numId w:val="5"/>
        </w:numPr>
        <w:tabs>
          <w:tab w:val="left" w:pos="561"/>
        </w:tabs>
        <w:ind w:left="561" w:hanging="561"/>
        <w:rPr>
          <w:rFonts w:eastAsia="Times New Roman"/>
          <w:b/>
          <w:bCs/>
        </w:rPr>
      </w:pPr>
      <w:r>
        <w:rPr>
          <w:rFonts w:eastAsia="Times New Roman"/>
          <w:b/>
          <w:bCs/>
        </w:rPr>
        <w:t>Kas žinotina prieš vartojant Keppra</w:t>
      </w:r>
    </w:p>
    <w:p w14:paraId="763CF83E" w14:textId="77777777" w:rsidR="001912EB" w:rsidRDefault="001912EB" w:rsidP="001912EB">
      <w:pPr>
        <w:spacing w:line="253" w:lineRule="exact"/>
        <w:rPr>
          <w:sz w:val="20"/>
          <w:szCs w:val="20"/>
        </w:rPr>
      </w:pPr>
    </w:p>
    <w:p w14:paraId="1C0C54B7" w14:textId="77777777" w:rsidR="001912EB" w:rsidRDefault="001912EB" w:rsidP="001912EB">
      <w:pPr>
        <w:ind w:left="1"/>
        <w:rPr>
          <w:sz w:val="20"/>
          <w:szCs w:val="20"/>
        </w:rPr>
      </w:pPr>
      <w:r>
        <w:rPr>
          <w:rFonts w:eastAsia="Times New Roman"/>
          <w:b/>
          <w:bCs/>
        </w:rPr>
        <w:t>Keppra vartoti negalima</w:t>
      </w:r>
    </w:p>
    <w:p w14:paraId="201AC36E" w14:textId="77777777" w:rsidR="001912EB" w:rsidRDefault="001912EB" w:rsidP="001912EB">
      <w:pPr>
        <w:spacing w:line="12" w:lineRule="exact"/>
        <w:rPr>
          <w:sz w:val="20"/>
          <w:szCs w:val="20"/>
        </w:rPr>
      </w:pPr>
    </w:p>
    <w:p w14:paraId="3DC8095C" w14:textId="77777777" w:rsidR="001912EB" w:rsidRDefault="001912EB" w:rsidP="001912EB">
      <w:pPr>
        <w:spacing w:line="281" w:lineRule="auto"/>
        <w:ind w:left="541" w:right="460"/>
        <w:rPr>
          <w:sz w:val="20"/>
          <w:szCs w:val="20"/>
        </w:rPr>
      </w:pPr>
      <w:r>
        <w:rPr>
          <w:rFonts w:eastAsia="Times New Roman"/>
        </w:rPr>
        <w:t>Jeigu yra alergija levetiracetamui, pirolidono dariniams arba bet kuriai pagalbinei šio vaisto medžiagai (jos išvardytos 6 skyriuje).</w:t>
      </w:r>
    </w:p>
    <w:p w14:paraId="3E1BE351" w14:textId="77777777" w:rsidR="001912EB" w:rsidRDefault="001912EB" w:rsidP="001912EB">
      <w:pPr>
        <w:spacing w:line="170" w:lineRule="exact"/>
        <w:rPr>
          <w:sz w:val="20"/>
          <w:szCs w:val="20"/>
        </w:rPr>
      </w:pPr>
    </w:p>
    <w:p w14:paraId="4EEC6C8C" w14:textId="77777777" w:rsidR="001912EB" w:rsidRDefault="001912EB" w:rsidP="001912EB">
      <w:pPr>
        <w:ind w:left="1"/>
        <w:rPr>
          <w:sz w:val="20"/>
          <w:szCs w:val="20"/>
        </w:rPr>
      </w:pPr>
      <w:r>
        <w:rPr>
          <w:rFonts w:eastAsia="Times New Roman"/>
          <w:b/>
          <w:bCs/>
        </w:rPr>
        <w:t>Įspėjimai ir atsargumo priemonės</w:t>
      </w:r>
    </w:p>
    <w:p w14:paraId="5F0D13B2" w14:textId="77777777" w:rsidR="001912EB" w:rsidRDefault="001912EB" w:rsidP="001912EB">
      <w:pPr>
        <w:ind w:left="1"/>
        <w:rPr>
          <w:sz w:val="20"/>
          <w:szCs w:val="20"/>
        </w:rPr>
      </w:pPr>
      <w:r>
        <w:rPr>
          <w:rFonts w:eastAsia="Times New Roman"/>
        </w:rPr>
        <w:t>Pasitarkite su gydytoju, prieš pradėdami vartoti Keppra</w:t>
      </w:r>
    </w:p>
    <w:p w14:paraId="13B96F87" w14:textId="77777777" w:rsidR="001912EB" w:rsidRDefault="001912EB" w:rsidP="001912EB">
      <w:pPr>
        <w:spacing w:line="200" w:lineRule="exact"/>
        <w:rPr>
          <w:sz w:val="20"/>
          <w:szCs w:val="20"/>
        </w:rPr>
      </w:pPr>
    </w:p>
    <w:p w14:paraId="4BF85C0B" w14:textId="77777777" w:rsidR="001912EB" w:rsidRDefault="001912EB" w:rsidP="001912EB">
      <w:pPr>
        <w:spacing w:line="393" w:lineRule="exact"/>
        <w:rPr>
          <w:sz w:val="20"/>
          <w:szCs w:val="20"/>
        </w:rPr>
      </w:pPr>
    </w:p>
    <w:p w14:paraId="11EFEF36" w14:textId="77777777" w:rsidR="001912EB" w:rsidRDefault="001912EB" w:rsidP="001912EB">
      <w:pPr>
        <w:ind w:right="339"/>
        <w:jc w:val="center"/>
        <w:rPr>
          <w:sz w:val="20"/>
          <w:szCs w:val="20"/>
        </w:rPr>
      </w:pPr>
      <w:r>
        <w:rPr>
          <w:rFonts w:ascii="Arial" w:eastAsia="Arial" w:hAnsi="Arial" w:cs="Arial"/>
          <w:sz w:val="16"/>
          <w:szCs w:val="16"/>
        </w:rPr>
        <w:t>160</w:t>
      </w:r>
    </w:p>
    <w:p w14:paraId="3CB89C98" w14:textId="77777777" w:rsidR="001912EB" w:rsidRDefault="001912EB" w:rsidP="001912EB">
      <w:pPr>
        <w:sectPr w:rsidR="001912EB">
          <w:pgSz w:w="11900" w:h="16838"/>
          <w:pgMar w:top="1103" w:right="1426" w:bottom="176" w:left="1419" w:header="0" w:footer="0" w:gutter="0"/>
          <w:cols w:space="720" w:equalWidth="0">
            <w:col w:w="9061"/>
          </w:cols>
        </w:sectPr>
      </w:pPr>
    </w:p>
    <w:p w14:paraId="115C52FB" w14:textId="77777777" w:rsidR="001912EB" w:rsidRDefault="001912EB" w:rsidP="001912EB">
      <w:pPr>
        <w:spacing w:line="248" w:lineRule="auto"/>
        <w:ind w:left="541" w:right="300"/>
        <w:rPr>
          <w:sz w:val="20"/>
          <w:szCs w:val="20"/>
        </w:rPr>
      </w:pPr>
      <w:bookmarkStart w:id="0" w:name="page161"/>
      <w:bookmarkEnd w:id="0"/>
      <w:r>
        <w:rPr>
          <w:rFonts w:eastAsia="Times New Roman"/>
        </w:rPr>
        <w:lastRenderedPageBreak/>
        <w:t>Jeigu Jūsų inkstų veikla sutrikusi, laikykitės savo gydytojo nurodymų. Jis/ji nuspręs, ar reikia patikslinti vaisto dozę.</w:t>
      </w:r>
    </w:p>
    <w:p w14:paraId="1DE81FE8" w14:textId="77777777" w:rsidR="001912EB" w:rsidRDefault="001912EB" w:rsidP="001912EB">
      <w:pPr>
        <w:spacing w:line="256" w:lineRule="auto"/>
        <w:ind w:left="541" w:right="260" w:firstLine="26"/>
        <w:rPr>
          <w:sz w:val="20"/>
          <w:szCs w:val="20"/>
        </w:rPr>
      </w:pPr>
      <w:r>
        <w:rPr>
          <w:rFonts w:eastAsia="Times New Roman"/>
          <w:sz w:val="21"/>
          <w:szCs w:val="21"/>
        </w:rPr>
        <w:t>Jeigu pastebėjote savo vaiko sulėtėjusį augimą arba netikėtą brendimą, pasakykite gydytojui. Nedaugelis žmonių, kurie buvo gydomi antiepilepsiniais vaistais, tokiais kaip Keppra turėjo minčių apie savęs žalojimą arba savižudybę. Jeigu Jums yra bet kokie depresijos simptomai ir</w:t>
      </w:r>
    </w:p>
    <w:p w14:paraId="6D1CCE03" w14:textId="77777777" w:rsidR="001912EB" w:rsidRDefault="001912EB" w:rsidP="001912EB">
      <w:pPr>
        <w:spacing w:line="2" w:lineRule="exact"/>
        <w:rPr>
          <w:sz w:val="20"/>
          <w:szCs w:val="20"/>
        </w:rPr>
      </w:pPr>
    </w:p>
    <w:p w14:paraId="051834EA" w14:textId="77777777" w:rsidR="001912EB" w:rsidRDefault="001912EB" w:rsidP="001912EB">
      <w:pPr>
        <w:ind w:left="541"/>
        <w:rPr>
          <w:sz w:val="20"/>
          <w:szCs w:val="20"/>
        </w:rPr>
      </w:pPr>
      <w:r>
        <w:rPr>
          <w:rFonts w:eastAsia="Times New Roman"/>
        </w:rPr>
        <w:t>(arba) kyla mintys apie savižudybę, pasakykite gydytojui.</w:t>
      </w:r>
    </w:p>
    <w:p w14:paraId="0CB2B72C" w14:textId="77777777" w:rsidR="001912EB" w:rsidRDefault="001912EB" w:rsidP="001912EB">
      <w:pPr>
        <w:spacing w:line="11" w:lineRule="exact"/>
        <w:rPr>
          <w:sz w:val="20"/>
          <w:szCs w:val="20"/>
        </w:rPr>
      </w:pPr>
    </w:p>
    <w:p w14:paraId="3F29D55F" w14:textId="77777777" w:rsidR="001912EB" w:rsidRDefault="001912EB" w:rsidP="001912EB">
      <w:pPr>
        <w:spacing w:line="266" w:lineRule="auto"/>
        <w:ind w:left="541" w:right="40"/>
        <w:rPr>
          <w:sz w:val="20"/>
          <w:szCs w:val="20"/>
        </w:rPr>
      </w:pPr>
      <w:r>
        <w:rPr>
          <w:rFonts w:eastAsia="Times New Roman"/>
        </w:rPr>
        <w:t>Jei Jūsų šeimoje ar ligos istorijoje yra buvę nereguliaraus širdies ritmo (matomo elektrokardiogramoje) atvejų arba jei sergate liga ir (arba) Jums skirtas gydymas, dėl kurio esate linkę į nereguliarų širdies ritmą ar druskų pusiausvyros sutrikimus.</w:t>
      </w:r>
    </w:p>
    <w:p w14:paraId="42EB74CE" w14:textId="77777777" w:rsidR="001912EB" w:rsidRDefault="001912EB" w:rsidP="001912EB">
      <w:pPr>
        <w:spacing w:line="181" w:lineRule="exact"/>
        <w:rPr>
          <w:sz w:val="20"/>
          <w:szCs w:val="20"/>
        </w:rPr>
      </w:pPr>
    </w:p>
    <w:p w14:paraId="5DECCDC3" w14:textId="77777777" w:rsidR="001912EB" w:rsidRDefault="001912EB" w:rsidP="001912EB">
      <w:pPr>
        <w:spacing w:line="247" w:lineRule="auto"/>
        <w:ind w:left="1" w:right="240"/>
        <w:rPr>
          <w:sz w:val="20"/>
          <w:szCs w:val="20"/>
        </w:rPr>
      </w:pPr>
      <w:r>
        <w:rPr>
          <w:rFonts w:eastAsia="Times New Roman"/>
        </w:rPr>
        <w:t>Pasakykite gydytojui arba vaistininkui, jeigu kuris nors iš išvardytų šalutinių reiškinių tampa sunkus arba trunka ilgiau nei kelias dienas:</w:t>
      </w:r>
    </w:p>
    <w:p w14:paraId="609EA441" w14:textId="77777777" w:rsidR="001912EB" w:rsidRDefault="001912EB" w:rsidP="001912EB">
      <w:pPr>
        <w:spacing w:line="257" w:lineRule="auto"/>
        <w:ind w:left="561" w:right="80"/>
        <w:rPr>
          <w:sz w:val="20"/>
          <w:szCs w:val="20"/>
        </w:rPr>
      </w:pPr>
      <w:r>
        <w:rPr>
          <w:rFonts w:eastAsia="Times New Roman"/>
        </w:rPr>
        <w:t>Nenormalios mintys, dirglumas ar agresyvesnė reakcija nei įprastai arba jeigu Jūs ar Jūsų šeima ir draugai pastebite svarbių nuotaikos ar elgesio pokyčių.</w:t>
      </w:r>
    </w:p>
    <w:p w14:paraId="41103977" w14:textId="77777777" w:rsidR="001912EB" w:rsidRDefault="001912EB" w:rsidP="001912EB">
      <w:pPr>
        <w:spacing w:line="1" w:lineRule="exact"/>
        <w:rPr>
          <w:sz w:val="20"/>
          <w:szCs w:val="20"/>
        </w:rPr>
      </w:pPr>
    </w:p>
    <w:p w14:paraId="26795AA1" w14:textId="77777777" w:rsidR="001912EB" w:rsidRDefault="001912EB" w:rsidP="001912EB">
      <w:pPr>
        <w:ind w:left="1"/>
        <w:rPr>
          <w:sz w:val="20"/>
          <w:szCs w:val="20"/>
        </w:rPr>
      </w:pPr>
      <w:r>
        <w:rPr>
          <w:rFonts w:eastAsia="Times New Roman"/>
          <w:u w:val="single"/>
        </w:rPr>
        <w:t>Epilepsijos pasunkėjimas</w:t>
      </w:r>
    </w:p>
    <w:p w14:paraId="1896A882" w14:textId="77777777" w:rsidR="001912EB" w:rsidRDefault="001912EB" w:rsidP="001912EB">
      <w:pPr>
        <w:spacing w:line="1" w:lineRule="exact"/>
        <w:rPr>
          <w:sz w:val="20"/>
          <w:szCs w:val="20"/>
        </w:rPr>
      </w:pPr>
    </w:p>
    <w:p w14:paraId="66CB4AC8" w14:textId="77777777" w:rsidR="001912EB" w:rsidRDefault="001912EB" w:rsidP="001912EB">
      <w:pPr>
        <w:spacing w:line="259" w:lineRule="auto"/>
        <w:ind w:left="581" w:right="280"/>
        <w:rPr>
          <w:sz w:val="20"/>
          <w:szCs w:val="20"/>
        </w:rPr>
      </w:pPr>
      <w:r>
        <w:rPr>
          <w:rFonts w:eastAsia="Times New Roman"/>
        </w:rPr>
        <w:t>Retais atvejais Jūsų priepuoliai gali pasunkėti arba tapti dažnesni, daugiausiai tai įvyksta per pirmąjį mėnesį nuo gydymo pradžios ar padidinus dozę. Jei vartojant Keppra Jums pasireiškė kuris nors iš šių naujų simptomų, kuo greičiau kreipkitės į gydytoją.</w:t>
      </w:r>
    </w:p>
    <w:p w14:paraId="2000C668" w14:textId="77777777" w:rsidR="001912EB" w:rsidRDefault="001912EB" w:rsidP="001912EB">
      <w:pPr>
        <w:spacing w:line="193" w:lineRule="exact"/>
        <w:rPr>
          <w:sz w:val="20"/>
          <w:szCs w:val="20"/>
        </w:rPr>
      </w:pPr>
    </w:p>
    <w:p w14:paraId="58C83EE6" w14:textId="77777777" w:rsidR="001912EB" w:rsidRDefault="001912EB" w:rsidP="001912EB">
      <w:pPr>
        <w:ind w:left="1"/>
        <w:rPr>
          <w:sz w:val="20"/>
          <w:szCs w:val="20"/>
        </w:rPr>
      </w:pPr>
      <w:r>
        <w:rPr>
          <w:rFonts w:eastAsia="Times New Roman"/>
          <w:b/>
          <w:bCs/>
        </w:rPr>
        <w:t>Vaikams ir paaugliams</w:t>
      </w:r>
    </w:p>
    <w:p w14:paraId="1521E376" w14:textId="77777777" w:rsidR="001912EB" w:rsidRDefault="001912EB" w:rsidP="001912EB">
      <w:pPr>
        <w:spacing w:line="15" w:lineRule="exact"/>
        <w:rPr>
          <w:sz w:val="20"/>
          <w:szCs w:val="20"/>
        </w:rPr>
      </w:pPr>
    </w:p>
    <w:p w14:paraId="501FDA8B" w14:textId="77777777" w:rsidR="001912EB" w:rsidRDefault="001912EB" w:rsidP="001912EB">
      <w:pPr>
        <w:ind w:left="1"/>
        <w:rPr>
          <w:sz w:val="20"/>
          <w:szCs w:val="20"/>
        </w:rPr>
      </w:pPr>
      <w:r>
        <w:rPr>
          <w:rFonts w:eastAsia="Times New Roman"/>
        </w:rPr>
        <w:t>Keppra nėra skirtas monoterapijai gydyti vaikams ir paaugliams, jaunesniems kaip 16 metų.</w:t>
      </w:r>
    </w:p>
    <w:p w14:paraId="710FD492" w14:textId="77777777" w:rsidR="001912EB" w:rsidRDefault="001912EB" w:rsidP="001912EB">
      <w:pPr>
        <w:spacing w:line="255" w:lineRule="exact"/>
        <w:rPr>
          <w:sz w:val="20"/>
          <w:szCs w:val="20"/>
        </w:rPr>
      </w:pPr>
    </w:p>
    <w:p w14:paraId="075AC939" w14:textId="77777777" w:rsidR="001912EB" w:rsidRDefault="001912EB" w:rsidP="001912EB">
      <w:pPr>
        <w:ind w:left="1"/>
        <w:rPr>
          <w:sz w:val="20"/>
          <w:szCs w:val="20"/>
        </w:rPr>
      </w:pPr>
      <w:r>
        <w:rPr>
          <w:rFonts w:eastAsia="Times New Roman"/>
          <w:b/>
          <w:bCs/>
        </w:rPr>
        <w:t>Kiti vaistai ir Keppra</w:t>
      </w:r>
    </w:p>
    <w:p w14:paraId="40E63DA3" w14:textId="77777777" w:rsidR="001912EB" w:rsidRDefault="001912EB" w:rsidP="001912EB">
      <w:pPr>
        <w:spacing w:line="279" w:lineRule="auto"/>
        <w:ind w:left="1" w:right="80"/>
        <w:rPr>
          <w:sz w:val="20"/>
          <w:szCs w:val="20"/>
        </w:rPr>
      </w:pPr>
      <w:r>
        <w:rPr>
          <w:rFonts w:eastAsia="Times New Roman"/>
        </w:rPr>
        <w:t xml:space="preserve">Jeigu vartojate arba neseniai vartojote kitų vaistų arba dėl to nesate tikri, apie tai </w:t>
      </w:r>
      <w:r>
        <w:rPr>
          <w:rFonts w:eastAsia="Times New Roman"/>
          <w:u w:val="single"/>
        </w:rPr>
        <w:t>pasakykite gydytojui</w:t>
      </w:r>
      <w:r>
        <w:rPr>
          <w:rFonts w:eastAsia="Times New Roman"/>
        </w:rPr>
        <w:t xml:space="preserve"> </w:t>
      </w:r>
      <w:r>
        <w:rPr>
          <w:rFonts w:eastAsia="Times New Roman"/>
          <w:u w:val="single"/>
        </w:rPr>
        <w:t>arba vaistininkui.</w:t>
      </w:r>
    </w:p>
    <w:p w14:paraId="5BD77D51" w14:textId="77777777" w:rsidR="001912EB" w:rsidRDefault="001912EB" w:rsidP="001912EB">
      <w:pPr>
        <w:spacing w:line="170" w:lineRule="exact"/>
        <w:rPr>
          <w:sz w:val="20"/>
          <w:szCs w:val="20"/>
        </w:rPr>
      </w:pPr>
    </w:p>
    <w:p w14:paraId="74EF63DD" w14:textId="77777777" w:rsidR="001912EB" w:rsidRDefault="001912EB" w:rsidP="001912EB">
      <w:pPr>
        <w:spacing w:line="279" w:lineRule="auto"/>
        <w:ind w:left="1" w:right="1000"/>
        <w:rPr>
          <w:sz w:val="20"/>
          <w:szCs w:val="20"/>
        </w:rPr>
      </w:pPr>
      <w:r>
        <w:rPr>
          <w:rFonts w:eastAsia="Times New Roman"/>
        </w:rPr>
        <w:t>Nevartokite makrogolio (vaisto vartojamo laisvinti vidurius) vieną valandą prieš ir vieną po levetiracetamo vartojimo, nes gali sumažėti vaisto poveikis.</w:t>
      </w:r>
    </w:p>
    <w:p w14:paraId="1ED71484" w14:textId="77777777" w:rsidR="001912EB" w:rsidRDefault="001912EB" w:rsidP="001912EB">
      <w:pPr>
        <w:spacing w:line="170" w:lineRule="exact"/>
        <w:rPr>
          <w:sz w:val="20"/>
          <w:szCs w:val="20"/>
        </w:rPr>
      </w:pPr>
    </w:p>
    <w:p w14:paraId="3C3ACFEA" w14:textId="77777777" w:rsidR="001912EB" w:rsidRDefault="001912EB" w:rsidP="001912EB">
      <w:pPr>
        <w:ind w:left="1"/>
        <w:rPr>
          <w:sz w:val="20"/>
          <w:szCs w:val="20"/>
        </w:rPr>
      </w:pPr>
      <w:r>
        <w:rPr>
          <w:rFonts w:eastAsia="Times New Roman"/>
          <w:b/>
          <w:bCs/>
        </w:rPr>
        <w:t>Nėštumas ir žindymo laikotarpis</w:t>
      </w:r>
    </w:p>
    <w:p w14:paraId="3747142F" w14:textId="77777777" w:rsidR="001912EB" w:rsidRDefault="001912EB" w:rsidP="001912EB">
      <w:pPr>
        <w:ind w:left="1" w:right="320"/>
        <w:jc w:val="both"/>
        <w:rPr>
          <w:sz w:val="20"/>
          <w:szCs w:val="20"/>
        </w:rPr>
      </w:pPr>
      <w:r>
        <w:rPr>
          <w:rFonts w:eastAsia="Times New Roman"/>
        </w:rPr>
        <w:t>Jeigu esate nėščia, žindote kūdikį, manote, kad galbūt esate nėščia, arba planuojate pastoti, tai prieš vartodama šį vaistą, pasitarkite su gydytoju. Levetiracetamą nėštumo metu galima vartoti tik jeigu gydytojas, atidžiai įvertinęs, mano, jog tai reikalinga.</w:t>
      </w:r>
    </w:p>
    <w:p w14:paraId="3CDE1030" w14:textId="77777777" w:rsidR="001912EB" w:rsidRDefault="001912EB" w:rsidP="001912EB">
      <w:pPr>
        <w:spacing w:line="1" w:lineRule="exact"/>
        <w:rPr>
          <w:sz w:val="20"/>
          <w:szCs w:val="20"/>
        </w:rPr>
      </w:pPr>
    </w:p>
    <w:p w14:paraId="2E1FD55C" w14:textId="77777777" w:rsidR="001912EB" w:rsidRDefault="001912EB" w:rsidP="001912EB">
      <w:pPr>
        <w:ind w:left="1"/>
        <w:rPr>
          <w:sz w:val="20"/>
          <w:szCs w:val="20"/>
        </w:rPr>
      </w:pPr>
      <w:r>
        <w:rPr>
          <w:rFonts w:eastAsia="Times New Roman"/>
        </w:rPr>
        <w:t>Nenutraukite gydymo iš pradžių neaptarusi to su gydytoju.</w:t>
      </w:r>
    </w:p>
    <w:p w14:paraId="1648EEAF" w14:textId="77777777" w:rsidR="001912EB" w:rsidRDefault="001912EB" w:rsidP="001912EB">
      <w:pPr>
        <w:ind w:left="1"/>
        <w:rPr>
          <w:sz w:val="20"/>
          <w:szCs w:val="20"/>
        </w:rPr>
      </w:pPr>
      <w:r>
        <w:rPr>
          <w:rFonts w:eastAsia="Times New Roman"/>
        </w:rPr>
        <w:t>Apsigimimų pavojaus Jūsų vaisiui visiškai atmesti negalima.</w:t>
      </w:r>
    </w:p>
    <w:p w14:paraId="06F97543" w14:textId="77777777" w:rsidR="001912EB" w:rsidRDefault="001912EB" w:rsidP="001912EB">
      <w:pPr>
        <w:ind w:left="1"/>
        <w:rPr>
          <w:sz w:val="20"/>
          <w:szCs w:val="20"/>
        </w:rPr>
      </w:pPr>
      <w:r>
        <w:rPr>
          <w:rFonts w:eastAsia="Times New Roman"/>
        </w:rPr>
        <w:t>Jei vartojate Keppra, žindyti nerekomenduojama.</w:t>
      </w:r>
    </w:p>
    <w:p w14:paraId="2B143BF8" w14:textId="77777777" w:rsidR="001912EB" w:rsidRDefault="001912EB" w:rsidP="001912EB">
      <w:pPr>
        <w:spacing w:line="255" w:lineRule="exact"/>
        <w:rPr>
          <w:sz w:val="20"/>
          <w:szCs w:val="20"/>
        </w:rPr>
      </w:pPr>
    </w:p>
    <w:p w14:paraId="424D6E83" w14:textId="77777777" w:rsidR="001912EB" w:rsidRDefault="001912EB" w:rsidP="001912EB">
      <w:pPr>
        <w:ind w:left="1"/>
        <w:rPr>
          <w:sz w:val="20"/>
          <w:szCs w:val="20"/>
        </w:rPr>
      </w:pPr>
      <w:r>
        <w:rPr>
          <w:rFonts w:eastAsia="Times New Roman"/>
          <w:b/>
          <w:bCs/>
        </w:rPr>
        <w:t>Vairavimas ir mechanizmų valdymas</w:t>
      </w:r>
    </w:p>
    <w:p w14:paraId="2F957421" w14:textId="77777777" w:rsidR="001912EB" w:rsidRDefault="001912EB" w:rsidP="001912EB">
      <w:pPr>
        <w:spacing w:line="259" w:lineRule="auto"/>
        <w:ind w:left="1"/>
        <w:rPr>
          <w:sz w:val="20"/>
          <w:szCs w:val="20"/>
        </w:rPr>
      </w:pPr>
      <w:r>
        <w:rPr>
          <w:rFonts w:eastAsia="Times New Roman"/>
        </w:rPr>
        <w:t>Jei vairuojate ar dirbate kokiais nors įrankiais ar mechanizmais, būkite atsargūs, nes vaistas gali sukelti mieguistumą. Šis poveikis gali būti stipresnis, kai vaisto pradedama vartoti arba padidinama jo dozė. Negalite vairuoti arba valdyti mechanizmų kol neįsitikinsite, kad šie gebėjimai nėra sutrikę.</w:t>
      </w:r>
    </w:p>
    <w:p w14:paraId="1394D5FB" w14:textId="77777777" w:rsidR="001912EB" w:rsidRDefault="001912EB" w:rsidP="001912EB">
      <w:pPr>
        <w:spacing w:line="193" w:lineRule="exact"/>
        <w:rPr>
          <w:sz w:val="20"/>
          <w:szCs w:val="20"/>
        </w:rPr>
      </w:pPr>
    </w:p>
    <w:p w14:paraId="4FE1B64E" w14:textId="77777777" w:rsidR="001912EB" w:rsidRDefault="001912EB" w:rsidP="001912EB">
      <w:pPr>
        <w:ind w:left="1"/>
        <w:rPr>
          <w:sz w:val="20"/>
          <w:szCs w:val="20"/>
        </w:rPr>
      </w:pPr>
      <w:r>
        <w:rPr>
          <w:rFonts w:eastAsia="Times New Roman"/>
          <w:b/>
          <w:bCs/>
        </w:rPr>
        <w:t>Keppra sudėtyje yra natrio</w:t>
      </w:r>
    </w:p>
    <w:p w14:paraId="211BAA0D" w14:textId="77777777" w:rsidR="001912EB" w:rsidRDefault="001912EB" w:rsidP="001912EB">
      <w:pPr>
        <w:spacing w:line="259" w:lineRule="auto"/>
        <w:ind w:left="1" w:right="500"/>
        <w:rPr>
          <w:sz w:val="20"/>
          <w:szCs w:val="20"/>
        </w:rPr>
      </w:pPr>
      <w:r>
        <w:rPr>
          <w:rFonts w:eastAsia="Times New Roman"/>
        </w:rPr>
        <w:t>Vienoje maksimalioje vienkartinėje Keppra koncentrato dozėje yra 2,5 mmol (arba 57 mg) natrio (flakone yra 0,8 mmol (arba 19 mg) natrio). Būtina atsižvelgti, jei kontroliuojamas natrio kiekis maiste.</w:t>
      </w:r>
    </w:p>
    <w:p w14:paraId="3D5774C9" w14:textId="77777777" w:rsidR="001912EB" w:rsidRDefault="001912EB" w:rsidP="001912EB">
      <w:pPr>
        <w:spacing w:line="200" w:lineRule="exact"/>
        <w:rPr>
          <w:sz w:val="20"/>
          <w:szCs w:val="20"/>
        </w:rPr>
      </w:pPr>
    </w:p>
    <w:p w14:paraId="5F282879" w14:textId="77777777" w:rsidR="001912EB" w:rsidRDefault="001912EB" w:rsidP="001912EB">
      <w:pPr>
        <w:spacing w:line="247" w:lineRule="exact"/>
        <w:rPr>
          <w:sz w:val="20"/>
          <w:szCs w:val="20"/>
        </w:rPr>
      </w:pPr>
    </w:p>
    <w:p w14:paraId="22A5818D" w14:textId="77777777" w:rsidR="001912EB" w:rsidRDefault="001912EB" w:rsidP="001912EB">
      <w:pPr>
        <w:numPr>
          <w:ilvl w:val="0"/>
          <w:numId w:val="6"/>
        </w:numPr>
        <w:tabs>
          <w:tab w:val="left" w:pos="561"/>
        </w:tabs>
        <w:ind w:left="561" w:hanging="561"/>
        <w:rPr>
          <w:rFonts w:eastAsia="Times New Roman"/>
          <w:b/>
          <w:bCs/>
        </w:rPr>
      </w:pPr>
      <w:r>
        <w:rPr>
          <w:rFonts w:eastAsia="Times New Roman"/>
          <w:b/>
          <w:bCs/>
        </w:rPr>
        <w:t>Kaip vartoti Keppra</w:t>
      </w:r>
    </w:p>
    <w:p w14:paraId="4267BEA9" w14:textId="77777777" w:rsidR="001912EB" w:rsidRDefault="001912EB" w:rsidP="001912EB">
      <w:pPr>
        <w:spacing w:line="251" w:lineRule="exact"/>
        <w:rPr>
          <w:sz w:val="20"/>
          <w:szCs w:val="20"/>
        </w:rPr>
      </w:pPr>
    </w:p>
    <w:p w14:paraId="210A3B54" w14:textId="77777777" w:rsidR="001912EB" w:rsidRDefault="001912EB" w:rsidP="001912EB">
      <w:pPr>
        <w:ind w:left="1"/>
        <w:rPr>
          <w:sz w:val="20"/>
          <w:szCs w:val="20"/>
        </w:rPr>
      </w:pPr>
      <w:r>
        <w:rPr>
          <w:rFonts w:eastAsia="Times New Roman"/>
        </w:rPr>
        <w:t>Gydytojas arba slaugytoja Jums suleis Keppra į veną.</w:t>
      </w:r>
    </w:p>
    <w:p w14:paraId="2092C881" w14:textId="77777777" w:rsidR="001912EB" w:rsidRDefault="001912EB" w:rsidP="001912EB">
      <w:pPr>
        <w:spacing w:line="279" w:lineRule="auto"/>
        <w:ind w:left="1" w:right="120"/>
        <w:rPr>
          <w:sz w:val="20"/>
          <w:szCs w:val="20"/>
        </w:rPr>
      </w:pPr>
      <w:r>
        <w:rPr>
          <w:rFonts w:eastAsia="Times New Roman"/>
        </w:rPr>
        <w:t>Keppra reikia vartoti 2 kartus per parą, vieną kartą ryte ir vieną kartą vakare, kiekvieną parą maždaug tuo pačiu metu.</w:t>
      </w:r>
    </w:p>
    <w:p w14:paraId="3A22BF2D" w14:textId="77777777" w:rsidR="001912EB" w:rsidRDefault="001912EB" w:rsidP="001912EB">
      <w:pPr>
        <w:spacing w:line="171" w:lineRule="exact"/>
        <w:rPr>
          <w:sz w:val="20"/>
          <w:szCs w:val="20"/>
        </w:rPr>
      </w:pPr>
    </w:p>
    <w:p w14:paraId="620CF1AB" w14:textId="77777777" w:rsidR="001912EB" w:rsidRDefault="001912EB" w:rsidP="001912EB">
      <w:pPr>
        <w:spacing w:line="281" w:lineRule="auto"/>
        <w:ind w:left="1" w:right="80"/>
        <w:rPr>
          <w:sz w:val="20"/>
          <w:szCs w:val="20"/>
        </w:rPr>
      </w:pPr>
      <w:r>
        <w:rPr>
          <w:rFonts w:eastAsia="Times New Roman"/>
        </w:rPr>
        <w:t>Leidžiamoji vaisto forma pakeičia geriamąją vaisto formą. Jūs galite pereiti nuo vaisto vartojimo geriant prie leidimo iš karto, be dozės adaptacijos. Jūsų paros dozės ir vartojimo dažnumas nesikeičia.</w:t>
      </w:r>
    </w:p>
    <w:p w14:paraId="25A02289" w14:textId="77777777" w:rsidR="001912EB" w:rsidRDefault="001912EB" w:rsidP="001912EB">
      <w:pPr>
        <w:spacing w:line="200" w:lineRule="exact"/>
        <w:rPr>
          <w:sz w:val="20"/>
          <w:szCs w:val="20"/>
        </w:rPr>
      </w:pPr>
    </w:p>
    <w:p w14:paraId="0B59AD73" w14:textId="77777777" w:rsidR="001912EB" w:rsidRDefault="001912EB" w:rsidP="001912EB">
      <w:pPr>
        <w:spacing w:line="219" w:lineRule="exact"/>
        <w:rPr>
          <w:sz w:val="20"/>
          <w:szCs w:val="20"/>
        </w:rPr>
      </w:pPr>
    </w:p>
    <w:p w14:paraId="0A5FD9CA" w14:textId="77777777" w:rsidR="001912EB" w:rsidRDefault="001912EB" w:rsidP="001912EB">
      <w:pPr>
        <w:ind w:right="339"/>
        <w:jc w:val="center"/>
        <w:rPr>
          <w:sz w:val="20"/>
          <w:szCs w:val="20"/>
        </w:rPr>
      </w:pPr>
      <w:r>
        <w:rPr>
          <w:rFonts w:ascii="Arial" w:eastAsia="Arial" w:hAnsi="Arial" w:cs="Arial"/>
          <w:sz w:val="16"/>
          <w:szCs w:val="16"/>
        </w:rPr>
        <w:t>161</w:t>
      </w:r>
    </w:p>
    <w:p w14:paraId="1A32D907" w14:textId="77777777" w:rsidR="001912EB" w:rsidRDefault="001912EB" w:rsidP="001912EB">
      <w:pPr>
        <w:sectPr w:rsidR="001912EB">
          <w:pgSz w:w="11900" w:h="16838"/>
          <w:pgMar w:top="1116" w:right="1426" w:bottom="176" w:left="1419" w:header="0" w:footer="0" w:gutter="0"/>
          <w:cols w:space="720" w:equalWidth="0">
            <w:col w:w="9061"/>
          </w:cols>
        </w:sectPr>
      </w:pPr>
    </w:p>
    <w:p w14:paraId="2BBC8F53" w14:textId="77777777" w:rsidR="001912EB" w:rsidRDefault="001912EB" w:rsidP="001912EB">
      <w:pPr>
        <w:ind w:left="1"/>
        <w:rPr>
          <w:sz w:val="20"/>
          <w:szCs w:val="20"/>
        </w:rPr>
      </w:pPr>
      <w:bookmarkStart w:id="1" w:name="page162"/>
      <w:bookmarkEnd w:id="1"/>
      <w:r>
        <w:rPr>
          <w:rFonts w:eastAsia="Times New Roman"/>
          <w:b/>
          <w:bCs/>
          <w:i/>
          <w:iCs/>
        </w:rPr>
        <w:lastRenderedPageBreak/>
        <w:t>Monoterapija</w:t>
      </w:r>
    </w:p>
    <w:p w14:paraId="7BD33C50" w14:textId="77777777" w:rsidR="001912EB" w:rsidRDefault="001912EB" w:rsidP="001912EB">
      <w:pPr>
        <w:spacing w:line="228" w:lineRule="exact"/>
        <w:rPr>
          <w:sz w:val="20"/>
          <w:szCs w:val="20"/>
        </w:rPr>
      </w:pPr>
    </w:p>
    <w:p w14:paraId="71BDCF1B" w14:textId="77777777" w:rsidR="001912EB" w:rsidRDefault="001912EB" w:rsidP="001912EB">
      <w:pPr>
        <w:ind w:left="1"/>
        <w:rPr>
          <w:sz w:val="20"/>
          <w:szCs w:val="20"/>
        </w:rPr>
      </w:pPr>
      <w:r>
        <w:rPr>
          <w:rFonts w:eastAsia="Times New Roman"/>
          <w:b/>
          <w:bCs/>
        </w:rPr>
        <w:t>Dozė suaugusiesiems ir paaugliams (nuo 16 metų amžiaus):</w:t>
      </w:r>
    </w:p>
    <w:p w14:paraId="19BF3D5D" w14:textId="77777777" w:rsidR="001912EB" w:rsidRDefault="001912EB" w:rsidP="001912EB">
      <w:pPr>
        <w:spacing w:line="235" w:lineRule="auto"/>
        <w:ind w:left="1"/>
        <w:rPr>
          <w:sz w:val="20"/>
          <w:szCs w:val="20"/>
        </w:rPr>
      </w:pPr>
      <w:r>
        <w:rPr>
          <w:rFonts w:eastAsia="Times New Roman"/>
        </w:rPr>
        <w:t>Bendroji dozė: nuo 1000 mg iki 3000 mg kiekvieną parą.</w:t>
      </w:r>
    </w:p>
    <w:p w14:paraId="58A1EAAE" w14:textId="77777777" w:rsidR="001912EB" w:rsidRDefault="001912EB" w:rsidP="001912EB">
      <w:pPr>
        <w:spacing w:line="1" w:lineRule="exact"/>
        <w:rPr>
          <w:sz w:val="20"/>
          <w:szCs w:val="20"/>
        </w:rPr>
      </w:pPr>
    </w:p>
    <w:p w14:paraId="56B50381" w14:textId="77777777" w:rsidR="001912EB" w:rsidRDefault="001912EB" w:rsidP="001912EB">
      <w:pPr>
        <w:spacing w:line="285" w:lineRule="auto"/>
        <w:ind w:left="1" w:right="146"/>
        <w:rPr>
          <w:sz w:val="20"/>
          <w:szCs w:val="20"/>
        </w:rPr>
      </w:pPr>
      <w:r>
        <w:rPr>
          <w:rFonts w:eastAsia="Times New Roman"/>
        </w:rPr>
        <w:t xml:space="preserve">Pirmą kartą pradėjus vartoti Keppra, Jūsų gydytojas paskirs 2 savaites </w:t>
      </w:r>
      <w:r>
        <w:rPr>
          <w:rFonts w:eastAsia="Times New Roman"/>
          <w:b/>
          <w:bCs/>
        </w:rPr>
        <w:t>mažesnę dozę</w:t>
      </w:r>
      <w:r>
        <w:rPr>
          <w:rFonts w:eastAsia="Times New Roman"/>
        </w:rPr>
        <w:t xml:space="preserve"> prieš paskiriant mažiausią bendrąją dozę.</w:t>
      </w:r>
    </w:p>
    <w:p w14:paraId="79545416" w14:textId="77777777" w:rsidR="001912EB" w:rsidRDefault="001912EB" w:rsidP="001912EB">
      <w:pPr>
        <w:spacing w:line="189" w:lineRule="exact"/>
        <w:rPr>
          <w:sz w:val="20"/>
          <w:szCs w:val="20"/>
        </w:rPr>
      </w:pPr>
    </w:p>
    <w:p w14:paraId="332AC33C" w14:textId="77777777" w:rsidR="001912EB" w:rsidRDefault="001912EB" w:rsidP="001912EB">
      <w:pPr>
        <w:ind w:left="1"/>
        <w:rPr>
          <w:sz w:val="20"/>
          <w:szCs w:val="20"/>
        </w:rPr>
      </w:pPr>
      <w:r>
        <w:rPr>
          <w:rFonts w:eastAsia="Times New Roman"/>
          <w:b/>
          <w:bCs/>
          <w:i/>
          <w:iCs/>
        </w:rPr>
        <w:t>Papildomas gydymas</w:t>
      </w:r>
    </w:p>
    <w:p w14:paraId="0A90965D" w14:textId="77777777" w:rsidR="001912EB" w:rsidRDefault="001912EB" w:rsidP="001912EB">
      <w:pPr>
        <w:spacing w:line="227" w:lineRule="exact"/>
        <w:rPr>
          <w:sz w:val="20"/>
          <w:szCs w:val="20"/>
        </w:rPr>
      </w:pPr>
    </w:p>
    <w:p w14:paraId="67E51EC9" w14:textId="77777777" w:rsidR="001912EB" w:rsidRDefault="001912EB" w:rsidP="001912EB">
      <w:pPr>
        <w:spacing w:line="239" w:lineRule="auto"/>
        <w:ind w:left="1" w:right="446"/>
        <w:rPr>
          <w:sz w:val="20"/>
          <w:szCs w:val="20"/>
        </w:rPr>
      </w:pPr>
      <w:r>
        <w:rPr>
          <w:rFonts w:eastAsia="Times New Roman"/>
          <w:b/>
          <w:bCs/>
        </w:rPr>
        <w:t>Dozė suaugusiesiems ir paaugliams (nuo 12 iki 17 metų amžiaus), kurių kūno svoris 50 kg ir didesnis:</w:t>
      </w:r>
    </w:p>
    <w:p w14:paraId="5BDAFD47" w14:textId="77777777" w:rsidR="001912EB" w:rsidRDefault="001912EB" w:rsidP="001912EB">
      <w:pPr>
        <w:spacing w:line="1" w:lineRule="exact"/>
        <w:rPr>
          <w:sz w:val="20"/>
          <w:szCs w:val="20"/>
        </w:rPr>
      </w:pPr>
    </w:p>
    <w:p w14:paraId="7B337B16" w14:textId="77777777" w:rsidR="001912EB" w:rsidRDefault="001912EB" w:rsidP="001912EB">
      <w:pPr>
        <w:ind w:left="1"/>
        <w:rPr>
          <w:sz w:val="20"/>
          <w:szCs w:val="20"/>
        </w:rPr>
      </w:pPr>
      <w:r>
        <w:rPr>
          <w:rFonts w:eastAsia="Times New Roman"/>
        </w:rPr>
        <w:t>Bendroji dozė: nuo 1000 mg iki 3000 mg kiekvieną parą.</w:t>
      </w:r>
    </w:p>
    <w:p w14:paraId="0105E339" w14:textId="77777777" w:rsidR="001912EB" w:rsidRDefault="001912EB" w:rsidP="001912EB">
      <w:pPr>
        <w:spacing w:line="255" w:lineRule="exact"/>
        <w:rPr>
          <w:sz w:val="20"/>
          <w:szCs w:val="20"/>
        </w:rPr>
      </w:pPr>
    </w:p>
    <w:p w14:paraId="59EAA84B" w14:textId="77777777" w:rsidR="001912EB" w:rsidRDefault="001912EB" w:rsidP="001912EB">
      <w:pPr>
        <w:spacing w:line="239" w:lineRule="auto"/>
        <w:ind w:left="1" w:right="346"/>
        <w:rPr>
          <w:sz w:val="20"/>
          <w:szCs w:val="20"/>
        </w:rPr>
      </w:pPr>
      <w:r>
        <w:rPr>
          <w:rFonts w:eastAsia="Times New Roman"/>
          <w:b/>
          <w:bCs/>
        </w:rPr>
        <w:t>Dozė vaikams (nuo 4 iki 11 metų amžiaus) ir paaugliams (nuo 12 iki 17 metų amžiaus), kurių kūno svoris mažesnis nei 50 kg:</w:t>
      </w:r>
    </w:p>
    <w:p w14:paraId="1A4733FE" w14:textId="77777777" w:rsidR="001912EB" w:rsidRDefault="001912EB" w:rsidP="001912EB">
      <w:pPr>
        <w:spacing w:line="2" w:lineRule="exact"/>
        <w:rPr>
          <w:sz w:val="20"/>
          <w:szCs w:val="20"/>
        </w:rPr>
      </w:pPr>
    </w:p>
    <w:p w14:paraId="38A2680C" w14:textId="77777777" w:rsidR="001912EB" w:rsidRDefault="001912EB" w:rsidP="001912EB">
      <w:pPr>
        <w:ind w:left="1"/>
        <w:rPr>
          <w:sz w:val="20"/>
          <w:szCs w:val="20"/>
        </w:rPr>
      </w:pPr>
      <w:r>
        <w:rPr>
          <w:rFonts w:eastAsia="Times New Roman"/>
        </w:rPr>
        <w:t>Bendroji dozė: nuo 20 mg/kg kūno svorio iki 60 mg/kg kūno svorio kiekvieną parą.</w:t>
      </w:r>
    </w:p>
    <w:p w14:paraId="497E66DB" w14:textId="77777777" w:rsidR="001912EB" w:rsidRDefault="001912EB" w:rsidP="001912EB">
      <w:pPr>
        <w:spacing w:line="252" w:lineRule="exact"/>
        <w:rPr>
          <w:sz w:val="20"/>
          <w:szCs w:val="20"/>
        </w:rPr>
      </w:pPr>
    </w:p>
    <w:p w14:paraId="113CB8E0" w14:textId="77777777" w:rsidR="001912EB" w:rsidRDefault="001912EB" w:rsidP="001912EB">
      <w:pPr>
        <w:ind w:left="1"/>
        <w:rPr>
          <w:sz w:val="20"/>
          <w:szCs w:val="20"/>
        </w:rPr>
      </w:pPr>
      <w:r>
        <w:rPr>
          <w:rFonts w:eastAsia="Times New Roman"/>
          <w:b/>
          <w:bCs/>
        </w:rPr>
        <w:t>Vartojimo metodas ir būdas:</w:t>
      </w:r>
    </w:p>
    <w:p w14:paraId="618D30A1" w14:textId="77777777" w:rsidR="001912EB" w:rsidRDefault="001912EB" w:rsidP="001912EB">
      <w:pPr>
        <w:ind w:left="1"/>
        <w:rPr>
          <w:sz w:val="20"/>
          <w:szCs w:val="20"/>
        </w:rPr>
      </w:pPr>
      <w:r>
        <w:rPr>
          <w:rFonts w:eastAsia="Times New Roman"/>
        </w:rPr>
        <w:t>Keppra skirtas leisti į veną.</w:t>
      </w:r>
    </w:p>
    <w:p w14:paraId="008F86BB" w14:textId="77777777" w:rsidR="001912EB" w:rsidRDefault="001912EB" w:rsidP="001912EB">
      <w:pPr>
        <w:ind w:left="1" w:right="146"/>
        <w:rPr>
          <w:sz w:val="20"/>
          <w:szCs w:val="20"/>
        </w:rPr>
      </w:pPr>
      <w:r>
        <w:rPr>
          <w:rFonts w:eastAsia="Times New Roman"/>
        </w:rPr>
        <w:t>Rekomenduojama dozė turi būti skiedžiama mažiausiai 100 ml tinkamo skiediklio ir lėtai, ilgiau kaip 15 min.leidžiama į veną.</w:t>
      </w:r>
    </w:p>
    <w:p w14:paraId="1D30592D" w14:textId="77777777" w:rsidR="001912EB" w:rsidRDefault="001912EB" w:rsidP="001912EB">
      <w:pPr>
        <w:spacing w:line="366" w:lineRule="auto"/>
        <w:ind w:left="1" w:right="386"/>
        <w:rPr>
          <w:sz w:val="20"/>
          <w:szCs w:val="20"/>
        </w:rPr>
      </w:pPr>
      <w:r>
        <w:rPr>
          <w:rFonts w:eastAsia="Times New Roman"/>
        </w:rPr>
        <w:t xml:space="preserve">Gydytojams ir slaugytojams detali informacija apie tikslų Keppra vartojimą pateikiama 6 skyriuje. </w:t>
      </w:r>
      <w:r>
        <w:rPr>
          <w:rFonts w:eastAsia="Times New Roman"/>
          <w:b/>
          <w:bCs/>
        </w:rPr>
        <w:t>Gydymo trukmė</w:t>
      </w:r>
    </w:p>
    <w:p w14:paraId="62D9D163" w14:textId="77777777" w:rsidR="001912EB" w:rsidRDefault="001912EB" w:rsidP="001912EB">
      <w:pPr>
        <w:spacing w:line="1" w:lineRule="exact"/>
        <w:rPr>
          <w:sz w:val="20"/>
          <w:szCs w:val="20"/>
        </w:rPr>
      </w:pPr>
    </w:p>
    <w:p w14:paraId="5942B797" w14:textId="77777777" w:rsidR="001912EB" w:rsidRDefault="001912EB" w:rsidP="001912EB">
      <w:pPr>
        <w:ind w:left="1"/>
        <w:rPr>
          <w:sz w:val="20"/>
          <w:szCs w:val="20"/>
        </w:rPr>
      </w:pPr>
      <w:r>
        <w:rPr>
          <w:rFonts w:eastAsia="Times New Roman"/>
        </w:rPr>
        <w:t>Apie levotiracetamo leidimą į veną ilgiau kaip 4 dienas patyrimo nesukaupta.</w:t>
      </w:r>
    </w:p>
    <w:p w14:paraId="6F89FE4F" w14:textId="77777777" w:rsidR="001912EB" w:rsidRDefault="001912EB" w:rsidP="001912EB">
      <w:pPr>
        <w:spacing w:line="255" w:lineRule="exact"/>
        <w:rPr>
          <w:sz w:val="20"/>
          <w:szCs w:val="20"/>
        </w:rPr>
      </w:pPr>
    </w:p>
    <w:p w14:paraId="1BEE1077" w14:textId="77777777" w:rsidR="001912EB" w:rsidRDefault="001912EB" w:rsidP="001912EB">
      <w:pPr>
        <w:ind w:left="1"/>
        <w:rPr>
          <w:sz w:val="20"/>
          <w:szCs w:val="20"/>
        </w:rPr>
      </w:pPr>
      <w:r>
        <w:rPr>
          <w:rFonts w:eastAsia="Times New Roman"/>
          <w:b/>
          <w:bCs/>
        </w:rPr>
        <w:t>Nustojus vartoti Keppra</w:t>
      </w:r>
    </w:p>
    <w:p w14:paraId="16FA7123" w14:textId="77777777" w:rsidR="001912EB" w:rsidRDefault="001912EB" w:rsidP="001912EB">
      <w:pPr>
        <w:spacing w:line="260" w:lineRule="auto"/>
        <w:ind w:left="1" w:right="446"/>
        <w:rPr>
          <w:sz w:val="20"/>
          <w:szCs w:val="20"/>
        </w:rPr>
      </w:pPr>
      <w:r>
        <w:rPr>
          <w:rFonts w:eastAsia="Times New Roman"/>
        </w:rPr>
        <w:t>Kaip ir gydant kitais vaistais nuo epilepsijos, liautis gydyti Keppra būtina iš lėto, siekiant išvengti priepuolių padažnėjimo. Jeigu gydytojas nutars, kad Jus gydyti Keppra reikia liautis, jis/ji Jus informuos kaip pamažu baigti gydytis Keppra.</w:t>
      </w:r>
    </w:p>
    <w:p w14:paraId="20D2FF45" w14:textId="77777777" w:rsidR="001912EB" w:rsidRDefault="001912EB" w:rsidP="001912EB">
      <w:pPr>
        <w:spacing w:line="191" w:lineRule="exact"/>
        <w:rPr>
          <w:sz w:val="20"/>
          <w:szCs w:val="20"/>
        </w:rPr>
      </w:pPr>
    </w:p>
    <w:p w14:paraId="5997AC58" w14:textId="77777777" w:rsidR="001912EB" w:rsidRDefault="001912EB" w:rsidP="001912EB">
      <w:pPr>
        <w:ind w:left="1"/>
        <w:rPr>
          <w:sz w:val="20"/>
          <w:szCs w:val="20"/>
        </w:rPr>
      </w:pPr>
      <w:r>
        <w:rPr>
          <w:rFonts w:eastAsia="Times New Roman"/>
        </w:rPr>
        <w:t>Jeigu kiltų daugiau klausimų dėl šio vaisto vartojimo, kreipkitės į gydytoją arba vaistininką.</w:t>
      </w:r>
    </w:p>
    <w:p w14:paraId="2ABB813D" w14:textId="77777777" w:rsidR="001912EB" w:rsidRDefault="001912EB" w:rsidP="001912EB">
      <w:pPr>
        <w:spacing w:line="200" w:lineRule="exact"/>
        <w:rPr>
          <w:sz w:val="20"/>
          <w:szCs w:val="20"/>
        </w:rPr>
      </w:pPr>
    </w:p>
    <w:p w14:paraId="7659CFC2" w14:textId="77777777" w:rsidR="001912EB" w:rsidRDefault="001912EB" w:rsidP="001912EB">
      <w:pPr>
        <w:spacing w:line="307" w:lineRule="exact"/>
        <w:rPr>
          <w:sz w:val="20"/>
          <w:szCs w:val="20"/>
        </w:rPr>
      </w:pPr>
    </w:p>
    <w:p w14:paraId="6E843411" w14:textId="77777777" w:rsidR="001912EB" w:rsidRDefault="001912EB" w:rsidP="001912EB">
      <w:pPr>
        <w:numPr>
          <w:ilvl w:val="0"/>
          <w:numId w:val="7"/>
        </w:numPr>
        <w:tabs>
          <w:tab w:val="left" w:pos="561"/>
        </w:tabs>
        <w:ind w:left="561" w:hanging="561"/>
        <w:rPr>
          <w:rFonts w:eastAsia="Times New Roman"/>
          <w:b/>
          <w:bCs/>
        </w:rPr>
      </w:pPr>
      <w:r>
        <w:rPr>
          <w:rFonts w:eastAsia="Times New Roman"/>
          <w:b/>
          <w:bCs/>
        </w:rPr>
        <w:t>Galimas šalutinis poveikis</w:t>
      </w:r>
    </w:p>
    <w:p w14:paraId="60CE7446" w14:textId="77777777" w:rsidR="001912EB" w:rsidRDefault="001912EB" w:rsidP="001912EB">
      <w:pPr>
        <w:spacing w:line="252" w:lineRule="exact"/>
        <w:rPr>
          <w:sz w:val="20"/>
          <w:szCs w:val="20"/>
        </w:rPr>
      </w:pPr>
    </w:p>
    <w:p w14:paraId="6B4F8442" w14:textId="77777777" w:rsidR="001912EB" w:rsidRDefault="001912EB" w:rsidP="001912EB">
      <w:pPr>
        <w:ind w:left="1"/>
        <w:rPr>
          <w:sz w:val="20"/>
          <w:szCs w:val="20"/>
        </w:rPr>
      </w:pPr>
      <w:r>
        <w:rPr>
          <w:rFonts w:eastAsia="Times New Roman"/>
        </w:rPr>
        <w:t>Šis vaistas, kaip ir visi kiti, gali sukelti šalutinį poveikį, nors jis pasireiškia ne visiems žmonėms.</w:t>
      </w:r>
    </w:p>
    <w:p w14:paraId="6491C838" w14:textId="77777777" w:rsidR="001912EB" w:rsidRDefault="001912EB" w:rsidP="001912EB">
      <w:pPr>
        <w:spacing w:line="255" w:lineRule="exact"/>
        <w:rPr>
          <w:sz w:val="20"/>
          <w:szCs w:val="20"/>
        </w:rPr>
      </w:pPr>
    </w:p>
    <w:p w14:paraId="47BAEA14" w14:textId="77777777" w:rsidR="001912EB" w:rsidRDefault="001912EB" w:rsidP="001912EB">
      <w:pPr>
        <w:spacing w:line="288" w:lineRule="auto"/>
        <w:ind w:left="1" w:right="506"/>
        <w:rPr>
          <w:sz w:val="20"/>
          <w:szCs w:val="20"/>
        </w:rPr>
      </w:pPr>
      <w:r>
        <w:rPr>
          <w:rFonts w:eastAsia="Times New Roman"/>
          <w:b/>
          <w:bCs/>
        </w:rPr>
        <w:t>Nedelsdami pasakykite gydytojui arba vykite į artimiausią greitosios pagalbos skyrių, jeigu pasireiškė:</w:t>
      </w:r>
    </w:p>
    <w:p w14:paraId="68B2E405" w14:textId="77777777" w:rsidR="001912EB" w:rsidRDefault="001912EB" w:rsidP="001912EB">
      <w:pPr>
        <w:spacing w:line="165" w:lineRule="exact"/>
        <w:rPr>
          <w:sz w:val="20"/>
          <w:szCs w:val="20"/>
        </w:rPr>
      </w:pPr>
    </w:p>
    <w:p w14:paraId="31E27D18" w14:textId="77777777" w:rsidR="001912EB" w:rsidRDefault="001912EB" w:rsidP="001912EB">
      <w:pPr>
        <w:spacing w:line="247" w:lineRule="auto"/>
        <w:ind w:left="561" w:right="226"/>
        <w:rPr>
          <w:sz w:val="20"/>
          <w:szCs w:val="20"/>
        </w:rPr>
      </w:pPr>
      <w:r>
        <w:rPr>
          <w:rFonts w:eastAsia="Times New Roman"/>
        </w:rPr>
        <w:t>silpnumas, apsvaigimas ar galvos svaigimas arba sunkumas kvėpuoti, nes tai gali būti sunkios alerginės (anafilaksinės) reakcijos požymiai</w:t>
      </w:r>
    </w:p>
    <w:p w14:paraId="58E5BD10" w14:textId="77777777" w:rsidR="001912EB" w:rsidRDefault="001912EB" w:rsidP="001912EB">
      <w:pPr>
        <w:ind w:left="1"/>
        <w:rPr>
          <w:sz w:val="20"/>
          <w:szCs w:val="20"/>
        </w:rPr>
      </w:pPr>
      <w:r>
        <w:rPr>
          <w:rFonts w:eastAsia="Times New Roman"/>
        </w:rPr>
        <w:t>veido, lūpų, liežuvio ir gerklės tinimas (Kvinkės edema)</w:t>
      </w:r>
    </w:p>
    <w:p w14:paraId="0092E343" w14:textId="77777777" w:rsidR="001912EB" w:rsidRDefault="001912EB" w:rsidP="001912EB">
      <w:pPr>
        <w:spacing w:line="15" w:lineRule="exact"/>
        <w:rPr>
          <w:sz w:val="20"/>
          <w:szCs w:val="20"/>
        </w:rPr>
      </w:pPr>
    </w:p>
    <w:p w14:paraId="1E2529A7" w14:textId="77777777" w:rsidR="001912EB" w:rsidRDefault="001912EB" w:rsidP="001912EB">
      <w:pPr>
        <w:spacing w:line="243" w:lineRule="auto"/>
        <w:ind w:left="561" w:right="406"/>
        <w:rPr>
          <w:sz w:val="20"/>
          <w:szCs w:val="20"/>
        </w:rPr>
      </w:pPr>
      <w:r>
        <w:rPr>
          <w:rFonts w:eastAsia="Times New Roman"/>
        </w:rPr>
        <w:t xml:space="preserve">į gripą panašūs simptomai ir bėrimas ant veido, pereinantis į užsitęsusį bėrimą su aukšta temperatūra, padidėjęs kepenų fermentų aktyvumas kraujyje ir padidėjęs tam tikrų baltųjų kraujo ląstelių kiekis (eozinofilija) bei padidėję limfmazgiai (reakcija į vaistą, pasireiškianti eozinofilija ir sisteminiais simptomais </w:t>
      </w:r>
      <w:r>
        <w:rPr>
          <w:rFonts w:eastAsia="Times New Roman"/>
          <w:sz w:val="24"/>
          <w:szCs w:val="24"/>
        </w:rPr>
        <w:t>[DRESS])</w:t>
      </w:r>
    </w:p>
    <w:p w14:paraId="12BBBADF" w14:textId="77777777" w:rsidR="001912EB" w:rsidRDefault="001912EB" w:rsidP="001912EB">
      <w:pPr>
        <w:spacing w:line="3" w:lineRule="exact"/>
        <w:rPr>
          <w:sz w:val="20"/>
          <w:szCs w:val="20"/>
        </w:rPr>
      </w:pPr>
    </w:p>
    <w:p w14:paraId="46FCBBC4" w14:textId="77777777" w:rsidR="001912EB" w:rsidRDefault="001912EB" w:rsidP="001912EB">
      <w:pPr>
        <w:spacing w:line="306" w:lineRule="auto"/>
        <w:ind w:left="561" w:right="146"/>
        <w:jc w:val="right"/>
        <w:rPr>
          <w:sz w:val="20"/>
          <w:szCs w:val="20"/>
        </w:rPr>
      </w:pPr>
      <w:r>
        <w:rPr>
          <w:rFonts w:eastAsia="Times New Roman"/>
          <w:sz w:val="21"/>
          <w:szCs w:val="21"/>
        </w:rPr>
        <w:t>simptomai, tokie kaip sumažėjęs šlapimo kiekis, nuovargis, pykinimas, vėmimas, sumišimas ir kojų, kulkšnių ar pėdų tinimas, nes tai gali būti staigaus inkstų funkcijos susilpnėjimo požymis</w:t>
      </w:r>
    </w:p>
    <w:p w14:paraId="68BC199E" w14:textId="77777777" w:rsidR="001912EB" w:rsidRDefault="001912EB" w:rsidP="001912EB">
      <w:pPr>
        <w:spacing w:line="200" w:lineRule="exact"/>
        <w:rPr>
          <w:sz w:val="20"/>
          <w:szCs w:val="20"/>
        </w:rPr>
      </w:pPr>
    </w:p>
    <w:p w14:paraId="132FA89B" w14:textId="77777777" w:rsidR="001912EB" w:rsidRDefault="001912EB" w:rsidP="001912EB">
      <w:pPr>
        <w:spacing w:line="200" w:lineRule="exact"/>
        <w:rPr>
          <w:sz w:val="20"/>
          <w:szCs w:val="20"/>
        </w:rPr>
      </w:pPr>
    </w:p>
    <w:p w14:paraId="2663EC7F" w14:textId="77777777" w:rsidR="001912EB" w:rsidRDefault="001912EB" w:rsidP="001912EB">
      <w:pPr>
        <w:spacing w:line="200" w:lineRule="exact"/>
        <w:rPr>
          <w:sz w:val="20"/>
          <w:szCs w:val="20"/>
        </w:rPr>
      </w:pPr>
    </w:p>
    <w:p w14:paraId="627481BA" w14:textId="77777777" w:rsidR="001912EB" w:rsidRDefault="001912EB" w:rsidP="001912EB">
      <w:pPr>
        <w:spacing w:line="200" w:lineRule="exact"/>
        <w:rPr>
          <w:sz w:val="20"/>
          <w:szCs w:val="20"/>
        </w:rPr>
      </w:pPr>
    </w:p>
    <w:p w14:paraId="2AA1A240" w14:textId="77777777" w:rsidR="001912EB" w:rsidRDefault="001912EB" w:rsidP="001912EB">
      <w:pPr>
        <w:spacing w:line="200" w:lineRule="exact"/>
        <w:rPr>
          <w:sz w:val="20"/>
          <w:szCs w:val="20"/>
        </w:rPr>
      </w:pPr>
    </w:p>
    <w:p w14:paraId="15DA3763" w14:textId="77777777" w:rsidR="001912EB" w:rsidRDefault="001912EB" w:rsidP="001912EB">
      <w:pPr>
        <w:spacing w:line="200" w:lineRule="exact"/>
        <w:rPr>
          <w:sz w:val="20"/>
          <w:szCs w:val="20"/>
        </w:rPr>
      </w:pPr>
    </w:p>
    <w:p w14:paraId="6F8B850A" w14:textId="77777777" w:rsidR="001912EB" w:rsidRDefault="001912EB" w:rsidP="001912EB">
      <w:pPr>
        <w:spacing w:line="200" w:lineRule="exact"/>
        <w:rPr>
          <w:sz w:val="20"/>
          <w:szCs w:val="20"/>
        </w:rPr>
      </w:pPr>
    </w:p>
    <w:p w14:paraId="567BB3B0" w14:textId="77777777" w:rsidR="001912EB" w:rsidRDefault="001912EB" w:rsidP="001912EB">
      <w:pPr>
        <w:spacing w:line="200" w:lineRule="exact"/>
        <w:rPr>
          <w:sz w:val="20"/>
          <w:szCs w:val="20"/>
        </w:rPr>
      </w:pPr>
    </w:p>
    <w:p w14:paraId="62A945DF" w14:textId="77777777" w:rsidR="001912EB" w:rsidRDefault="001912EB" w:rsidP="001912EB">
      <w:pPr>
        <w:spacing w:line="349" w:lineRule="exact"/>
        <w:rPr>
          <w:sz w:val="20"/>
          <w:szCs w:val="20"/>
        </w:rPr>
      </w:pPr>
    </w:p>
    <w:p w14:paraId="12EA5B2C" w14:textId="77777777" w:rsidR="001912EB" w:rsidRDefault="001912EB" w:rsidP="001912EB">
      <w:pPr>
        <w:ind w:right="325"/>
        <w:jc w:val="center"/>
        <w:rPr>
          <w:sz w:val="20"/>
          <w:szCs w:val="20"/>
        </w:rPr>
      </w:pPr>
      <w:r>
        <w:rPr>
          <w:rFonts w:ascii="Arial" w:eastAsia="Arial" w:hAnsi="Arial" w:cs="Arial"/>
          <w:sz w:val="16"/>
          <w:szCs w:val="16"/>
        </w:rPr>
        <w:t>162</w:t>
      </w:r>
    </w:p>
    <w:p w14:paraId="43B874AF" w14:textId="77777777" w:rsidR="001912EB" w:rsidRDefault="001912EB" w:rsidP="001912EB">
      <w:pPr>
        <w:sectPr w:rsidR="001912EB">
          <w:pgSz w:w="11900" w:h="16838"/>
          <w:pgMar w:top="1129" w:right="1440" w:bottom="176" w:left="1419" w:header="0" w:footer="0" w:gutter="0"/>
          <w:cols w:space="720" w:equalWidth="0">
            <w:col w:w="9048"/>
          </w:cols>
        </w:sectPr>
      </w:pPr>
    </w:p>
    <w:p w14:paraId="16614547" w14:textId="77777777" w:rsidR="001912EB" w:rsidRDefault="001912EB" w:rsidP="001912EB">
      <w:pPr>
        <w:spacing w:line="248" w:lineRule="auto"/>
        <w:ind w:left="560" w:right="146"/>
        <w:rPr>
          <w:sz w:val="20"/>
          <w:szCs w:val="20"/>
        </w:rPr>
      </w:pPr>
      <w:bookmarkStart w:id="2" w:name="page163"/>
      <w:bookmarkEnd w:id="2"/>
      <w:r>
        <w:rPr>
          <w:rFonts w:eastAsia="Times New Roman"/>
        </w:rPr>
        <w:lastRenderedPageBreak/>
        <w:t>odos bėrimas, kuris gali būti pūslinis, atrodyti panašus į taikinius (su tamsiais taškeliais centre, apsuptais šviesesniu apvadu ir tamsiu žiedu) (</w:t>
      </w:r>
      <w:r>
        <w:rPr>
          <w:rFonts w:eastAsia="Times New Roman"/>
          <w:i/>
          <w:iCs/>
        </w:rPr>
        <w:t>daugiaformė eritema</w:t>
      </w:r>
      <w:r>
        <w:rPr>
          <w:rFonts w:eastAsia="Times New Roman"/>
        </w:rPr>
        <w:t>)</w:t>
      </w:r>
    </w:p>
    <w:p w14:paraId="2CAB7742" w14:textId="77777777" w:rsidR="001912EB" w:rsidRDefault="001912EB" w:rsidP="001912EB">
      <w:pPr>
        <w:spacing w:line="247" w:lineRule="auto"/>
        <w:ind w:left="560" w:right="206"/>
        <w:rPr>
          <w:sz w:val="20"/>
          <w:szCs w:val="20"/>
        </w:rPr>
      </w:pPr>
      <w:r>
        <w:rPr>
          <w:rFonts w:eastAsia="Times New Roman"/>
        </w:rPr>
        <w:t>išplitęs bėrimas su pūslėmis ir besilupančia oda, ypač aplink burną, nosį, akis ir lyties organus (</w:t>
      </w:r>
      <w:r>
        <w:rPr>
          <w:rFonts w:eastAsia="Times New Roman"/>
          <w:i/>
          <w:iCs/>
        </w:rPr>
        <w:t>Stivenso ir Džonsono sindromas</w:t>
      </w:r>
      <w:r>
        <w:rPr>
          <w:rFonts w:eastAsia="Times New Roman"/>
        </w:rPr>
        <w:t>)</w:t>
      </w:r>
    </w:p>
    <w:p w14:paraId="490AD6DF" w14:textId="77777777" w:rsidR="001912EB" w:rsidRDefault="001912EB" w:rsidP="001912EB">
      <w:pPr>
        <w:spacing w:line="248" w:lineRule="auto"/>
        <w:ind w:left="560" w:right="306"/>
        <w:rPr>
          <w:sz w:val="20"/>
          <w:szCs w:val="20"/>
        </w:rPr>
      </w:pPr>
      <w:r>
        <w:rPr>
          <w:rFonts w:eastAsia="Times New Roman"/>
        </w:rPr>
        <w:t>sunkesnė forma, sukelianti odos lupimąsi didesniame nei 30% kūno paviršiaus plote (</w:t>
      </w:r>
      <w:r>
        <w:rPr>
          <w:rFonts w:eastAsia="Times New Roman"/>
          <w:i/>
          <w:iCs/>
        </w:rPr>
        <w:t>toksinė</w:t>
      </w:r>
      <w:r>
        <w:rPr>
          <w:rFonts w:eastAsia="Times New Roman"/>
        </w:rPr>
        <w:t xml:space="preserve"> </w:t>
      </w:r>
      <w:r>
        <w:rPr>
          <w:rFonts w:eastAsia="Times New Roman"/>
          <w:i/>
          <w:iCs/>
        </w:rPr>
        <w:t>epidermio nekrolizė</w:t>
      </w:r>
      <w:r>
        <w:rPr>
          <w:rFonts w:eastAsia="Times New Roman"/>
        </w:rPr>
        <w:t>)</w:t>
      </w:r>
    </w:p>
    <w:p w14:paraId="3FE2162F" w14:textId="77777777" w:rsidR="001912EB" w:rsidRDefault="001912EB" w:rsidP="001912EB">
      <w:pPr>
        <w:spacing w:line="253" w:lineRule="auto"/>
        <w:ind w:left="560" w:right="86"/>
        <w:rPr>
          <w:sz w:val="20"/>
          <w:szCs w:val="20"/>
        </w:rPr>
      </w:pPr>
      <w:r>
        <w:rPr>
          <w:rFonts w:eastAsia="Times New Roman"/>
        </w:rPr>
        <w:t>sunkių psichikos pokyčių požymiai ar jei kas nors iš aplinkinių pastebi sumišimo, somnolencijos (mieguistumo), amnezijos (atminties netekimo), atminties pablogėjimo (užmaršumo), nenormalaus elgesio požymių ar kitų neurologinių požymių, įskaitant nevalingus ir nekontroliuojamus judesius. Tai gali būti encefalopatijos simptomai.</w:t>
      </w:r>
    </w:p>
    <w:p w14:paraId="5F79D580" w14:textId="77777777" w:rsidR="001912EB" w:rsidRDefault="001912EB" w:rsidP="001912EB">
      <w:pPr>
        <w:spacing w:line="198" w:lineRule="exact"/>
        <w:rPr>
          <w:sz w:val="20"/>
          <w:szCs w:val="20"/>
        </w:rPr>
      </w:pPr>
    </w:p>
    <w:p w14:paraId="600073D4" w14:textId="77777777" w:rsidR="001912EB" w:rsidRDefault="001912EB" w:rsidP="001912EB">
      <w:pPr>
        <w:spacing w:line="254" w:lineRule="auto"/>
        <w:ind w:right="66"/>
        <w:rPr>
          <w:sz w:val="20"/>
          <w:szCs w:val="20"/>
        </w:rPr>
      </w:pPr>
      <w:r>
        <w:rPr>
          <w:rFonts w:eastAsia="Times New Roman"/>
        </w:rPr>
        <w:t>Dažniausiai pranešti šalutiniai poveikiai yra nazofaringitas, somnolencija (mieguistumas), galvos skausmas, nuovargis ir galvos svaigimas. Kai kurie iš šalutinių poveikių, pvz., mieguistumas, nuovargis ir galvos sukimasis, gali dažniau pasireikšti pradėjus gydyti arba padidinus dozę. Tačiau šie reiškiniai turėtų laikui bėgant sumažėti.</w:t>
      </w:r>
    </w:p>
    <w:p w14:paraId="0C686E2D" w14:textId="77777777" w:rsidR="001912EB" w:rsidRDefault="001912EB" w:rsidP="001912EB">
      <w:pPr>
        <w:spacing w:line="191" w:lineRule="exact"/>
        <w:rPr>
          <w:sz w:val="20"/>
          <w:szCs w:val="20"/>
        </w:rPr>
      </w:pPr>
    </w:p>
    <w:p w14:paraId="1D5765E1" w14:textId="77777777" w:rsidR="001912EB" w:rsidRDefault="001912EB" w:rsidP="001912EB">
      <w:pPr>
        <w:rPr>
          <w:sz w:val="20"/>
          <w:szCs w:val="20"/>
        </w:rPr>
      </w:pPr>
      <w:r>
        <w:rPr>
          <w:rFonts w:eastAsia="Times New Roman"/>
          <w:b/>
          <w:bCs/>
        </w:rPr>
        <w:t xml:space="preserve">Labai dažni: </w:t>
      </w:r>
      <w:r>
        <w:rPr>
          <w:rFonts w:eastAsia="Times New Roman"/>
        </w:rPr>
        <w:t>gali pasireikšti daugiau kaip 1 iš 10 žmonių</w:t>
      </w:r>
    </w:p>
    <w:p w14:paraId="3CEC1EB0" w14:textId="77777777" w:rsidR="001912EB" w:rsidRDefault="001912EB" w:rsidP="001912EB">
      <w:pPr>
        <w:spacing w:line="19" w:lineRule="exact"/>
        <w:rPr>
          <w:sz w:val="20"/>
          <w:szCs w:val="20"/>
        </w:rPr>
      </w:pPr>
    </w:p>
    <w:p w14:paraId="49621762" w14:textId="77777777" w:rsidR="001912EB" w:rsidRDefault="001912EB" w:rsidP="001912EB">
      <w:pPr>
        <w:rPr>
          <w:sz w:val="20"/>
          <w:szCs w:val="20"/>
        </w:rPr>
      </w:pPr>
      <w:r>
        <w:rPr>
          <w:rFonts w:eastAsia="Times New Roman"/>
        </w:rPr>
        <w:t>nazofaringitas;</w:t>
      </w:r>
    </w:p>
    <w:p w14:paraId="5327F573" w14:textId="77777777" w:rsidR="001912EB" w:rsidRDefault="001912EB" w:rsidP="001912EB">
      <w:pPr>
        <w:spacing w:line="15" w:lineRule="exact"/>
        <w:rPr>
          <w:sz w:val="20"/>
          <w:szCs w:val="20"/>
        </w:rPr>
      </w:pPr>
    </w:p>
    <w:p w14:paraId="3F00175E" w14:textId="77777777" w:rsidR="001912EB" w:rsidRDefault="001912EB" w:rsidP="001912EB">
      <w:pPr>
        <w:rPr>
          <w:sz w:val="20"/>
          <w:szCs w:val="20"/>
        </w:rPr>
      </w:pPr>
      <w:r>
        <w:rPr>
          <w:rFonts w:eastAsia="Times New Roman"/>
        </w:rPr>
        <w:t>somnolencija (mieguistumas), galvos skausmas.</w:t>
      </w:r>
    </w:p>
    <w:p w14:paraId="018D3BC8" w14:textId="77777777" w:rsidR="001912EB" w:rsidRDefault="001912EB" w:rsidP="001912EB">
      <w:pPr>
        <w:spacing w:line="250" w:lineRule="exact"/>
        <w:rPr>
          <w:sz w:val="20"/>
          <w:szCs w:val="20"/>
        </w:rPr>
      </w:pPr>
    </w:p>
    <w:p w14:paraId="223B17D6" w14:textId="77777777" w:rsidR="001912EB" w:rsidRDefault="001912EB" w:rsidP="001912EB">
      <w:pPr>
        <w:rPr>
          <w:sz w:val="20"/>
          <w:szCs w:val="20"/>
        </w:rPr>
      </w:pPr>
      <w:r>
        <w:rPr>
          <w:rFonts w:eastAsia="Times New Roman"/>
          <w:b/>
          <w:bCs/>
        </w:rPr>
        <w:t xml:space="preserve">Dažni: </w:t>
      </w:r>
      <w:r>
        <w:rPr>
          <w:rFonts w:eastAsia="Times New Roman"/>
        </w:rPr>
        <w:t>gali pasireikšti ne daugiau kaip 1 iš 10 žmonių</w:t>
      </w:r>
    </w:p>
    <w:p w14:paraId="500E3EB7" w14:textId="77777777" w:rsidR="001912EB" w:rsidRDefault="001912EB" w:rsidP="001912EB">
      <w:pPr>
        <w:spacing w:line="19" w:lineRule="exact"/>
        <w:rPr>
          <w:sz w:val="20"/>
          <w:szCs w:val="20"/>
        </w:rPr>
      </w:pPr>
    </w:p>
    <w:p w14:paraId="4D88CCE2" w14:textId="77777777" w:rsidR="001912EB" w:rsidRDefault="001912EB" w:rsidP="001912EB">
      <w:pPr>
        <w:rPr>
          <w:sz w:val="20"/>
          <w:szCs w:val="20"/>
        </w:rPr>
      </w:pPr>
      <w:r>
        <w:rPr>
          <w:rFonts w:eastAsia="Times New Roman"/>
        </w:rPr>
        <w:t>anoreksija (apetito netekimas);</w:t>
      </w:r>
    </w:p>
    <w:p w14:paraId="1428C688" w14:textId="77777777" w:rsidR="001912EB" w:rsidRDefault="001912EB" w:rsidP="001912EB">
      <w:pPr>
        <w:spacing w:line="15" w:lineRule="exact"/>
        <w:rPr>
          <w:sz w:val="20"/>
          <w:szCs w:val="20"/>
        </w:rPr>
      </w:pPr>
    </w:p>
    <w:p w14:paraId="7B550D5E" w14:textId="77777777" w:rsidR="001912EB" w:rsidRDefault="001912EB" w:rsidP="001912EB">
      <w:pPr>
        <w:rPr>
          <w:sz w:val="20"/>
          <w:szCs w:val="20"/>
        </w:rPr>
      </w:pPr>
      <w:r>
        <w:rPr>
          <w:rFonts w:eastAsia="Times New Roman"/>
        </w:rPr>
        <w:t>depresija, priešiškumas arba agresija, nerimas, nemiga, nervingumas arba irzlumas;</w:t>
      </w:r>
    </w:p>
    <w:p w14:paraId="08EED7AC" w14:textId="77777777" w:rsidR="001912EB" w:rsidRDefault="001912EB" w:rsidP="001912EB">
      <w:pPr>
        <w:spacing w:line="15" w:lineRule="exact"/>
        <w:rPr>
          <w:sz w:val="20"/>
          <w:szCs w:val="20"/>
        </w:rPr>
      </w:pPr>
    </w:p>
    <w:p w14:paraId="4DD49329" w14:textId="77777777" w:rsidR="001912EB" w:rsidRDefault="001912EB" w:rsidP="001912EB">
      <w:pPr>
        <w:spacing w:line="247" w:lineRule="auto"/>
        <w:ind w:left="540" w:right="326"/>
        <w:rPr>
          <w:sz w:val="20"/>
          <w:szCs w:val="20"/>
        </w:rPr>
      </w:pPr>
      <w:r>
        <w:rPr>
          <w:rFonts w:eastAsia="Times New Roman"/>
        </w:rPr>
        <w:t>traukuliai, pusiausvyros sutrikimas, galvos svaigimas (netvirtumo pojūtis), letargija (letargija (energijos ir entuziazmo trūkumas), tremoras (nevalingas drebulys);</w:t>
      </w:r>
    </w:p>
    <w:p w14:paraId="6F1E7624" w14:textId="77777777" w:rsidR="001912EB" w:rsidRDefault="001912EB" w:rsidP="001912EB">
      <w:pPr>
        <w:spacing w:line="255" w:lineRule="auto"/>
        <w:ind w:left="540" w:right="6166"/>
        <w:rPr>
          <w:sz w:val="20"/>
          <w:szCs w:val="20"/>
        </w:rPr>
      </w:pPr>
      <w:r>
        <w:rPr>
          <w:rFonts w:eastAsia="Times New Roman"/>
        </w:rPr>
        <w:t>vertigo (sukimosi pojūtis); kosulys;</w:t>
      </w:r>
    </w:p>
    <w:p w14:paraId="7EA732A5" w14:textId="77777777" w:rsidR="001912EB" w:rsidRDefault="001912EB" w:rsidP="001912EB">
      <w:pPr>
        <w:spacing w:line="255" w:lineRule="auto"/>
        <w:ind w:left="540" w:right="1486"/>
        <w:rPr>
          <w:sz w:val="20"/>
          <w:szCs w:val="20"/>
        </w:rPr>
      </w:pPr>
      <w:r>
        <w:rPr>
          <w:rFonts w:eastAsia="Times New Roman"/>
        </w:rPr>
        <w:t>pilvo skausmas, viduriavimas, dispepsija (nevirškinimas), vėmimas, pykinimas; bėrimas;</w:t>
      </w:r>
    </w:p>
    <w:p w14:paraId="6F4ECF9C" w14:textId="77777777" w:rsidR="001912EB" w:rsidRDefault="001912EB" w:rsidP="001912EB">
      <w:pPr>
        <w:rPr>
          <w:sz w:val="20"/>
          <w:szCs w:val="20"/>
        </w:rPr>
      </w:pPr>
      <w:r>
        <w:rPr>
          <w:rFonts w:eastAsia="Times New Roman"/>
        </w:rPr>
        <w:t>astenija (nuovargis).</w:t>
      </w:r>
    </w:p>
    <w:p w14:paraId="3D7F94A0" w14:textId="77777777" w:rsidR="001912EB" w:rsidRDefault="001912EB" w:rsidP="001912EB">
      <w:pPr>
        <w:spacing w:line="250" w:lineRule="exact"/>
        <w:rPr>
          <w:sz w:val="20"/>
          <w:szCs w:val="20"/>
        </w:rPr>
      </w:pPr>
    </w:p>
    <w:p w14:paraId="627588D4" w14:textId="77777777" w:rsidR="001912EB" w:rsidRDefault="001912EB" w:rsidP="001912EB">
      <w:pPr>
        <w:rPr>
          <w:sz w:val="20"/>
          <w:szCs w:val="20"/>
        </w:rPr>
      </w:pPr>
      <w:r>
        <w:rPr>
          <w:rFonts w:eastAsia="Times New Roman"/>
          <w:b/>
          <w:bCs/>
        </w:rPr>
        <w:t xml:space="preserve">Nedažni: </w:t>
      </w:r>
      <w:r>
        <w:rPr>
          <w:rFonts w:eastAsia="Times New Roman"/>
        </w:rPr>
        <w:t>gali pasireikšti ne daugiau kaip 1 iš 100 žmonių</w:t>
      </w:r>
    </w:p>
    <w:p w14:paraId="520F0A86" w14:textId="77777777" w:rsidR="001912EB" w:rsidRDefault="001912EB" w:rsidP="001912EB">
      <w:pPr>
        <w:spacing w:line="19" w:lineRule="exact"/>
        <w:rPr>
          <w:sz w:val="20"/>
          <w:szCs w:val="20"/>
        </w:rPr>
      </w:pPr>
    </w:p>
    <w:p w14:paraId="2613AAE5" w14:textId="77777777" w:rsidR="001912EB" w:rsidRDefault="001912EB" w:rsidP="001912EB">
      <w:pPr>
        <w:spacing w:line="255" w:lineRule="auto"/>
        <w:ind w:left="540" w:right="2006"/>
        <w:rPr>
          <w:sz w:val="20"/>
          <w:szCs w:val="20"/>
        </w:rPr>
      </w:pPr>
      <w:r>
        <w:rPr>
          <w:rFonts w:eastAsia="Times New Roman"/>
        </w:rPr>
        <w:t>sumažėjęs trombocitų skaičius, sumažėjęs baltųjų kraujo ląstelių skaičius; kūno svorio netekimas, kūno svorio padidėjimas;</w:t>
      </w:r>
    </w:p>
    <w:p w14:paraId="5B8FE277" w14:textId="77777777" w:rsidR="001912EB" w:rsidRDefault="001912EB" w:rsidP="001912EB">
      <w:pPr>
        <w:spacing w:line="244" w:lineRule="auto"/>
        <w:ind w:left="540" w:right="746"/>
        <w:rPr>
          <w:sz w:val="20"/>
          <w:szCs w:val="20"/>
        </w:rPr>
      </w:pPr>
      <w:r>
        <w:rPr>
          <w:rFonts w:eastAsia="Times New Roman"/>
        </w:rPr>
        <w:t>bandymas žudytis ir mintys apie savižudybę, psichikos sutrikimas, nenormalus elgesys, haliucinacijos, pyktis, sumišimas, panikos priepuolis, emocinis nepastovumas/nuotaikos svyravimai, susijaudinimas;</w:t>
      </w:r>
    </w:p>
    <w:p w14:paraId="39EFCFD0" w14:textId="77777777" w:rsidR="001912EB" w:rsidRDefault="001912EB" w:rsidP="001912EB">
      <w:pPr>
        <w:spacing w:line="1" w:lineRule="exact"/>
        <w:rPr>
          <w:sz w:val="20"/>
          <w:szCs w:val="20"/>
        </w:rPr>
      </w:pPr>
    </w:p>
    <w:p w14:paraId="40043D92" w14:textId="77777777" w:rsidR="001912EB" w:rsidRDefault="001912EB" w:rsidP="001912EB">
      <w:pPr>
        <w:spacing w:line="245" w:lineRule="auto"/>
        <w:ind w:left="540" w:right="606"/>
        <w:rPr>
          <w:sz w:val="20"/>
          <w:szCs w:val="20"/>
        </w:rPr>
      </w:pPr>
      <w:r>
        <w:rPr>
          <w:rFonts w:eastAsia="Times New Roman"/>
        </w:rPr>
        <w:t>amnezija (atminties netekimas), atminties pablogėjimas (užmaršumas), sutrikusi koordinacija/ataksija (nesuderinti judesiai), parestezija (dilgčiojimas), dėmesio sutrikimas (koncentracijos netekimas);</w:t>
      </w:r>
    </w:p>
    <w:p w14:paraId="7DBAF02A" w14:textId="77777777" w:rsidR="001912EB" w:rsidRDefault="001912EB" w:rsidP="001912EB">
      <w:pPr>
        <w:spacing w:line="1" w:lineRule="exact"/>
        <w:rPr>
          <w:sz w:val="20"/>
          <w:szCs w:val="20"/>
        </w:rPr>
      </w:pPr>
    </w:p>
    <w:p w14:paraId="079C6B34" w14:textId="77777777" w:rsidR="001912EB" w:rsidRDefault="001912EB" w:rsidP="001912EB">
      <w:pPr>
        <w:spacing w:line="255" w:lineRule="auto"/>
        <w:ind w:left="540" w:right="4026"/>
        <w:jc w:val="both"/>
        <w:rPr>
          <w:sz w:val="20"/>
          <w:szCs w:val="20"/>
        </w:rPr>
      </w:pPr>
      <w:r>
        <w:rPr>
          <w:rFonts w:eastAsia="Times New Roman"/>
        </w:rPr>
        <w:t>diplopija (dvejinimasis akyse), neryškus matymas; padidėję/pakitę kepenų funkcijos tyrimo rezultatai; nuplikimas, egzema, niežulys;</w:t>
      </w:r>
    </w:p>
    <w:p w14:paraId="16C96BC1" w14:textId="77777777" w:rsidR="001912EB" w:rsidRDefault="001912EB" w:rsidP="001912EB">
      <w:pPr>
        <w:spacing w:line="295" w:lineRule="auto"/>
        <w:ind w:left="540" w:right="4026"/>
        <w:rPr>
          <w:sz w:val="20"/>
          <w:szCs w:val="20"/>
        </w:rPr>
      </w:pPr>
      <w:r>
        <w:rPr>
          <w:rFonts w:eastAsia="Times New Roman"/>
        </w:rPr>
        <w:t>raumenų silpnumas, mialgija (raumenų skausmas); susižeidimas.</w:t>
      </w:r>
    </w:p>
    <w:p w14:paraId="483797FD" w14:textId="77777777" w:rsidR="001912EB" w:rsidRDefault="001912EB" w:rsidP="001912EB">
      <w:pPr>
        <w:spacing w:line="152" w:lineRule="exact"/>
        <w:rPr>
          <w:sz w:val="20"/>
          <w:szCs w:val="20"/>
        </w:rPr>
      </w:pPr>
    </w:p>
    <w:p w14:paraId="17CEACB0" w14:textId="77777777" w:rsidR="001912EB" w:rsidRDefault="001912EB" w:rsidP="001912EB">
      <w:pPr>
        <w:rPr>
          <w:sz w:val="20"/>
          <w:szCs w:val="20"/>
        </w:rPr>
      </w:pPr>
      <w:r>
        <w:rPr>
          <w:rFonts w:eastAsia="Times New Roman"/>
          <w:b/>
          <w:bCs/>
        </w:rPr>
        <w:t xml:space="preserve">Reti: </w:t>
      </w:r>
      <w:r>
        <w:rPr>
          <w:rFonts w:eastAsia="Times New Roman"/>
        </w:rPr>
        <w:t>gali pasireikšti ne daugiau kaip 1 iš 1000 žmonių</w:t>
      </w:r>
    </w:p>
    <w:p w14:paraId="6EC3A55D" w14:textId="77777777" w:rsidR="001912EB" w:rsidRDefault="001912EB" w:rsidP="001912EB">
      <w:pPr>
        <w:spacing w:line="17" w:lineRule="exact"/>
        <w:rPr>
          <w:sz w:val="20"/>
          <w:szCs w:val="20"/>
        </w:rPr>
      </w:pPr>
    </w:p>
    <w:p w14:paraId="62ABE149" w14:textId="77777777" w:rsidR="001912EB" w:rsidRDefault="001912EB" w:rsidP="001912EB">
      <w:pPr>
        <w:rPr>
          <w:sz w:val="20"/>
          <w:szCs w:val="20"/>
        </w:rPr>
      </w:pPr>
      <w:r>
        <w:rPr>
          <w:rFonts w:eastAsia="Times New Roman"/>
        </w:rPr>
        <w:t>infekcija;</w:t>
      </w:r>
    </w:p>
    <w:p w14:paraId="76EE9B23" w14:textId="77777777" w:rsidR="001912EB" w:rsidRDefault="001912EB" w:rsidP="001912EB">
      <w:pPr>
        <w:spacing w:line="15" w:lineRule="exact"/>
        <w:rPr>
          <w:sz w:val="20"/>
          <w:szCs w:val="20"/>
        </w:rPr>
      </w:pPr>
    </w:p>
    <w:p w14:paraId="3AC283F4" w14:textId="77777777" w:rsidR="001912EB" w:rsidRDefault="001912EB" w:rsidP="001912EB">
      <w:pPr>
        <w:rPr>
          <w:sz w:val="20"/>
          <w:szCs w:val="20"/>
        </w:rPr>
      </w:pPr>
      <w:r>
        <w:rPr>
          <w:rFonts w:eastAsia="Times New Roman"/>
        </w:rPr>
        <w:t>visų tipų kraujo ląstelių skaičiaus sumažėjimas;</w:t>
      </w:r>
    </w:p>
    <w:p w14:paraId="534CF364" w14:textId="77777777" w:rsidR="001912EB" w:rsidRDefault="001912EB" w:rsidP="001912EB">
      <w:pPr>
        <w:spacing w:line="15" w:lineRule="exact"/>
        <w:rPr>
          <w:sz w:val="20"/>
          <w:szCs w:val="20"/>
        </w:rPr>
      </w:pPr>
    </w:p>
    <w:p w14:paraId="4A2235AB" w14:textId="77777777" w:rsidR="001912EB" w:rsidRDefault="001912EB" w:rsidP="001912EB">
      <w:pPr>
        <w:spacing w:line="247" w:lineRule="auto"/>
        <w:ind w:left="560" w:right="486"/>
        <w:rPr>
          <w:sz w:val="20"/>
          <w:szCs w:val="20"/>
        </w:rPr>
      </w:pPr>
      <w:r>
        <w:rPr>
          <w:rFonts w:eastAsia="Times New Roman"/>
        </w:rPr>
        <w:t>sunkios alerginės reakcijos (vadinamasis DRESS sindromas, anafilaksinė reakcija [sunki ir reikšminga alerginė reakcija], Kvinkės edema [veido, lūpų, liežuvio ir gerklės tinimas]);</w:t>
      </w:r>
    </w:p>
    <w:p w14:paraId="1D71C201" w14:textId="77777777" w:rsidR="001912EB" w:rsidRDefault="001912EB" w:rsidP="001912EB">
      <w:pPr>
        <w:rPr>
          <w:sz w:val="20"/>
          <w:szCs w:val="20"/>
        </w:rPr>
      </w:pPr>
      <w:r>
        <w:rPr>
          <w:rFonts w:eastAsia="Times New Roman"/>
        </w:rPr>
        <w:t>natrio koncentracijos kraujyje sumažėjimas;</w:t>
      </w:r>
    </w:p>
    <w:p w14:paraId="302C74E2" w14:textId="77777777" w:rsidR="001912EB" w:rsidRDefault="001912EB" w:rsidP="001912EB">
      <w:pPr>
        <w:spacing w:line="16" w:lineRule="exact"/>
        <w:rPr>
          <w:sz w:val="20"/>
          <w:szCs w:val="20"/>
        </w:rPr>
      </w:pPr>
    </w:p>
    <w:p w14:paraId="348CD7BF" w14:textId="77777777" w:rsidR="001912EB" w:rsidRDefault="001912EB" w:rsidP="001912EB">
      <w:pPr>
        <w:spacing w:line="248" w:lineRule="auto"/>
        <w:ind w:left="540" w:right="406"/>
        <w:rPr>
          <w:sz w:val="20"/>
          <w:szCs w:val="20"/>
        </w:rPr>
      </w:pPr>
      <w:r>
        <w:rPr>
          <w:rFonts w:eastAsia="Times New Roman"/>
        </w:rPr>
        <w:t>savižudybės, asmenybės sutrikimai (elgesio problemos), pakitęs mąstymas (lėtas mąstymas, gebėjimo koncentruotis stoka);</w:t>
      </w:r>
    </w:p>
    <w:p w14:paraId="1A3D8578" w14:textId="77777777" w:rsidR="001912EB" w:rsidRDefault="001912EB" w:rsidP="001912EB">
      <w:pPr>
        <w:rPr>
          <w:sz w:val="20"/>
          <w:szCs w:val="20"/>
        </w:rPr>
      </w:pPr>
      <w:r>
        <w:rPr>
          <w:rFonts w:eastAsia="Times New Roman"/>
        </w:rPr>
        <w:t>kliedesiai;</w:t>
      </w:r>
    </w:p>
    <w:p w14:paraId="45360038" w14:textId="77777777" w:rsidR="001912EB" w:rsidRDefault="001912EB" w:rsidP="001912EB">
      <w:pPr>
        <w:spacing w:line="200" w:lineRule="exact"/>
        <w:rPr>
          <w:sz w:val="20"/>
          <w:szCs w:val="20"/>
        </w:rPr>
      </w:pPr>
    </w:p>
    <w:p w14:paraId="43B343F4" w14:textId="77777777" w:rsidR="001912EB" w:rsidRDefault="001912EB" w:rsidP="001912EB">
      <w:pPr>
        <w:spacing w:line="237" w:lineRule="exact"/>
        <w:rPr>
          <w:sz w:val="20"/>
          <w:szCs w:val="20"/>
        </w:rPr>
      </w:pPr>
    </w:p>
    <w:p w14:paraId="4F42B8CA" w14:textId="77777777" w:rsidR="001912EB" w:rsidRDefault="001912EB" w:rsidP="001912EB">
      <w:pPr>
        <w:ind w:right="326"/>
        <w:jc w:val="center"/>
        <w:rPr>
          <w:sz w:val="20"/>
          <w:szCs w:val="20"/>
        </w:rPr>
      </w:pPr>
      <w:r>
        <w:rPr>
          <w:rFonts w:ascii="Arial" w:eastAsia="Arial" w:hAnsi="Arial" w:cs="Arial"/>
          <w:sz w:val="16"/>
          <w:szCs w:val="16"/>
        </w:rPr>
        <w:t>163</w:t>
      </w:r>
    </w:p>
    <w:p w14:paraId="4DB7EC5B" w14:textId="77777777" w:rsidR="001912EB" w:rsidRDefault="001912EB" w:rsidP="001912EB">
      <w:pPr>
        <w:sectPr w:rsidR="001912EB">
          <w:pgSz w:w="11900" w:h="16838"/>
          <w:pgMar w:top="1116" w:right="1440" w:bottom="176" w:left="1420" w:header="0" w:footer="0" w:gutter="0"/>
          <w:cols w:space="720" w:equalWidth="0">
            <w:col w:w="9046"/>
          </w:cols>
        </w:sectPr>
      </w:pPr>
    </w:p>
    <w:p w14:paraId="23F34A22" w14:textId="77777777" w:rsidR="001912EB" w:rsidRDefault="001912EB" w:rsidP="001912EB">
      <w:pPr>
        <w:spacing w:line="246" w:lineRule="auto"/>
        <w:ind w:left="541" w:right="1060"/>
        <w:rPr>
          <w:sz w:val="20"/>
          <w:szCs w:val="20"/>
        </w:rPr>
      </w:pPr>
      <w:bookmarkStart w:id="3" w:name="page164"/>
      <w:bookmarkEnd w:id="3"/>
      <w:r>
        <w:rPr>
          <w:rFonts w:eastAsia="Times New Roman"/>
        </w:rPr>
        <w:lastRenderedPageBreak/>
        <w:t>encefalopatija (išsamų simptomų aprašymą rasite poskyryje „Nedelsdami pasakykite gydytojui“);</w:t>
      </w:r>
    </w:p>
    <w:p w14:paraId="476FC37B" w14:textId="77777777" w:rsidR="001912EB" w:rsidRDefault="001912EB" w:rsidP="001912EB">
      <w:pPr>
        <w:ind w:left="1"/>
        <w:rPr>
          <w:sz w:val="20"/>
          <w:szCs w:val="20"/>
        </w:rPr>
      </w:pPr>
      <w:r>
        <w:rPr>
          <w:rFonts w:eastAsia="Times New Roman"/>
        </w:rPr>
        <w:t>priepuoliai gali pasunkėti arba tapti dažnesni;</w:t>
      </w:r>
    </w:p>
    <w:p w14:paraId="25AB2A50" w14:textId="77777777" w:rsidR="001912EB" w:rsidRDefault="001912EB" w:rsidP="001912EB">
      <w:pPr>
        <w:spacing w:line="11" w:lineRule="exact"/>
        <w:rPr>
          <w:sz w:val="20"/>
          <w:szCs w:val="20"/>
        </w:rPr>
      </w:pPr>
    </w:p>
    <w:p w14:paraId="328316BB" w14:textId="77777777" w:rsidR="001912EB" w:rsidRDefault="001912EB" w:rsidP="001912EB">
      <w:pPr>
        <w:spacing w:line="245" w:lineRule="auto"/>
        <w:ind w:left="541" w:right="100"/>
        <w:rPr>
          <w:sz w:val="20"/>
          <w:szCs w:val="20"/>
        </w:rPr>
      </w:pPr>
      <w:r>
        <w:rPr>
          <w:rFonts w:eastAsia="Times New Roman"/>
        </w:rPr>
        <w:t>nekontroliuojami raumenų spazmai, apimantys galvą, liemenį ir galūnes, sunkumas kontroliuoti judesius, hiperkinezija (padidėjęs aktyvumas);</w:t>
      </w:r>
    </w:p>
    <w:p w14:paraId="6A0BCB57" w14:textId="77777777" w:rsidR="001912EB" w:rsidRDefault="001912EB" w:rsidP="001912EB">
      <w:pPr>
        <w:spacing w:line="1" w:lineRule="exact"/>
        <w:rPr>
          <w:sz w:val="20"/>
          <w:szCs w:val="20"/>
        </w:rPr>
      </w:pPr>
    </w:p>
    <w:p w14:paraId="6184A66A" w14:textId="77777777" w:rsidR="001912EB" w:rsidRDefault="001912EB" w:rsidP="001912EB">
      <w:pPr>
        <w:spacing w:line="252" w:lineRule="auto"/>
        <w:ind w:left="541" w:right="4320" w:firstLine="26"/>
        <w:rPr>
          <w:sz w:val="20"/>
          <w:szCs w:val="20"/>
        </w:rPr>
      </w:pPr>
      <w:r>
        <w:rPr>
          <w:rFonts w:eastAsia="Times New Roman"/>
        </w:rPr>
        <w:t>širdies ritmo pakitimas (elektrokardiogramoje); pankreatitas;</w:t>
      </w:r>
    </w:p>
    <w:p w14:paraId="38F11A3B" w14:textId="77777777" w:rsidR="001912EB" w:rsidRDefault="001912EB" w:rsidP="001912EB">
      <w:pPr>
        <w:spacing w:line="1" w:lineRule="exact"/>
        <w:rPr>
          <w:sz w:val="20"/>
          <w:szCs w:val="20"/>
        </w:rPr>
      </w:pPr>
    </w:p>
    <w:p w14:paraId="14882E97" w14:textId="77777777" w:rsidR="001912EB" w:rsidRDefault="001912EB" w:rsidP="001912EB">
      <w:pPr>
        <w:spacing w:line="267" w:lineRule="auto"/>
        <w:ind w:left="541" w:right="5140"/>
        <w:rPr>
          <w:sz w:val="20"/>
          <w:szCs w:val="20"/>
        </w:rPr>
      </w:pPr>
      <w:r>
        <w:rPr>
          <w:rFonts w:eastAsia="Times New Roman"/>
          <w:sz w:val="21"/>
          <w:szCs w:val="21"/>
        </w:rPr>
        <w:t>kepenų nepakankamumas, hepatitas; staigus inkstų funkcijos susilpnėjimas;</w:t>
      </w:r>
    </w:p>
    <w:p w14:paraId="47701293" w14:textId="77777777" w:rsidR="001912EB" w:rsidRDefault="001912EB" w:rsidP="001912EB">
      <w:pPr>
        <w:spacing w:line="243" w:lineRule="auto"/>
        <w:ind w:left="541"/>
        <w:rPr>
          <w:sz w:val="20"/>
          <w:szCs w:val="20"/>
        </w:rPr>
      </w:pPr>
      <w:r>
        <w:rPr>
          <w:rFonts w:eastAsia="Times New Roman"/>
        </w:rPr>
        <w:t>odos bėrimas, kuris gali būti pūslinis, atrodyti panašus į taikinius (su tamsiais taškeliais centre, apsuptais šviesesniu apvadu ir tamsiu žiedu) (</w:t>
      </w:r>
      <w:r>
        <w:rPr>
          <w:rFonts w:eastAsia="Times New Roman"/>
          <w:i/>
          <w:iCs/>
        </w:rPr>
        <w:t>daugiaformė eritema</w:t>
      </w:r>
      <w:r>
        <w:rPr>
          <w:rFonts w:eastAsia="Times New Roman"/>
        </w:rPr>
        <w:t>), išplitęs bėrimas su pūslėmis ir besilupančia oda, ypač aplink burną, nosį, akis ir lyties organus (</w:t>
      </w:r>
      <w:r>
        <w:rPr>
          <w:rFonts w:eastAsia="Times New Roman"/>
          <w:i/>
          <w:iCs/>
        </w:rPr>
        <w:t>Stivenso ir Džonsono</w:t>
      </w:r>
      <w:r>
        <w:rPr>
          <w:rFonts w:eastAsia="Times New Roman"/>
        </w:rPr>
        <w:t xml:space="preserve"> </w:t>
      </w:r>
      <w:r>
        <w:rPr>
          <w:rFonts w:eastAsia="Times New Roman"/>
          <w:i/>
          <w:iCs/>
        </w:rPr>
        <w:t>sindromas</w:t>
      </w:r>
      <w:r>
        <w:rPr>
          <w:rFonts w:eastAsia="Times New Roman"/>
        </w:rPr>
        <w:t>), ir sunkesnė forma, sukelianti odos lupimąsi didesniame nei 30% kūno paviršiaus</w:t>
      </w:r>
      <w:r>
        <w:rPr>
          <w:rFonts w:eastAsia="Times New Roman"/>
          <w:i/>
          <w:iCs/>
        </w:rPr>
        <w:t xml:space="preserve"> </w:t>
      </w:r>
      <w:r>
        <w:rPr>
          <w:rFonts w:eastAsia="Times New Roman"/>
        </w:rPr>
        <w:t>plote (</w:t>
      </w:r>
      <w:r>
        <w:rPr>
          <w:rFonts w:eastAsia="Times New Roman"/>
          <w:i/>
          <w:iCs/>
        </w:rPr>
        <w:t>toksinė epidermio nekrolizė</w:t>
      </w:r>
      <w:r>
        <w:rPr>
          <w:rFonts w:eastAsia="Times New Roman"/>
        </w:rPr>
        <w:t>);</w:t>
      </w:r>
    </w:p>
    <w:p w14:paraId="31856253" w14:textId="77777777" w:rsidR="001912EB" w:rsidRDefault="001912EB" w:rsidP="001912EB">
      <w:pPr>
        <w:spacing w:line="1" w:lineRule="exact"/>
        <w:rPr>
          <w:sz w:val="20"/>
          <w:szCs w:val="20"/>
        </w:rPr>
      </w:pPr>
    </w:p>
    <w:p w14:paraId="6519EA95" w14:textId="77777777" w:rsidR="001912EB" w:rsidRDefault="001912EB" w:rsidP="001912EB">
      <w:pPr>
        <w:spacing w:line="244" w:lineRule="auto"/>
        <w:ind w:left="561" w:right="320"/>
        <w:rPr>
          <w:sz w:val="20"/>
          <w:szCs w:val="20"/>
        </w:rPr>
      </w:pPr>
      <w:r>
        <w:rPr>
          <w:rFonts w:eastAsia="Times New Roman"/>
        </w:rPr>
        <w:t>Rabdomiolizė (raumenų audinio irimas) ir susijęs kreatinfosfokinazės aktyvumo padidėjimas kraujyje. Paplitimas reikšmingai didesnis japonams pacientams, lyginant su ne japonais pacientais;</w:t>
      </w:r>
    </w:p>
    <w:p w14:paraId="2E494D91" w14:textId="77777777" w:rsidR="001912EB" w:rsidRDefault="001912EB" w:rsidP="001912EB">
      <w:pPr>
        <w:spacing w:line="1" w:lineRule="exact"/>
        <w:rPr>
          <w:sz w:val="20"/>
          <w:szCs w:val="20"/>
        </w:rPr>
      </w:pPr>
    </w:p>
    <w:p w14:paraId="4D317BAE" w14:textId="77777777" w:rsidR="001912EB" w:rsidRDefault="001912EB" w:rsidP="001912EB">
      <w:pPr>
        <w:ind w:left="1"/>
        <w:rPr>
          <w:sz w:val="20"/>
          <w:szCs w:val="20"/>
        </w:rPr>
      </w:pPr>
      <w:r>
        <w:rPr>
          <w:rFonts w:eastAsia="Times New Roman"/>
        </w:rPr>
        <w:t>Šlubavimas arba sunkumas vaikščioti.</w:t>
      </w:r>
    </w:p>
    <w:p w14:paraId="7E62B167" w14:textId="77777777" w:rsidR="001912EB" w:rsidRDefault="001912EB" w:rsidP="001912EB">
      <w:pPr>
        <w:spacing w:line="255" w:lineRule="exact"/>
        <w:rPr>
          <w:sz w:val="20"/>
          <w:szCs w:val="20"/>
        </w:rPr>
      </w:pPr>
    </w:p>
    <w:p w14:paraId="2B3CAB8A" w14:textId="77777777" w:rsidR="001912EB" w:rsidRDefault="001912EB" w:rsidP="001912EB">
      <w:pPr>
        <w:ind w:left="1"/>
        <w:rPr>
          <w:sz w:val="20"/>
          <w:szCs w:val="20"/>
        </w:rPr>
      </w:pPr>
      <w:r>
        <w:rPr>
          <w:rFonts w:eastAsia="Times New Roman"/>
          <w:b/>
          <w:bCs/>
        </w:rPr>
        <w:t>Pranešimas apie šalutinį poveikį</w:t>
      </w:r>
    </w:p>
    <w:p w14:paraId="518D8EFE" w14:textId="77777777" w:rsidR="001912EB" w:rsidRDefault="001912EB" w:rsidP="001912EB">
      <w:pPr>
        <w:spacing w:line="253" w:lineRule="auto"/>
        <w:ind w:left="1" w:right="260"/>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5">
        <w:r>
          <w:rPr>
            <w:rFonts w:eastAsia="Times New Roman"/>
            <w:color w:val="0000FF"/>
            <w:highlight w:val="lightGray"/>
            <w:u w:val="single"/>
          </w:rPr>
          <w:t>V priede</w:t>
        </w:r>
        <w:r>
          <w:rPr>
            <w:rFonts w:eastAsia="Times New Roman"/>
            <w:u w:val="single"/>
          </w:rPr>
          <w:t xml:space="preserve"> </w:t>
        </w:r>
      </w:hyperlink>
      <w:r>
        <w:rPr>
          <w:rFonts w:eastAsia="Times New Roman"/>
          <w:highlight w:val="lightGray"/>
        </w:rPr>
        <w:t>nurodyta</w:t>
      </w:r>
      <w:r>
        <w:rPr>
          <w:rFonts w:eastAsia="Times New Roman"/>
        </w:rPr>
        <w:t xml:space="preserve"> </w:t>
      </w:r>
      <w:r>
        <w:rPr>
          <w:rFonts w:eastAsia="Times New Roman"/>
          <w:highlight w:val="lightGray"/>
        </w:rPr>
        <w:t xml:space="preserve">nacionaline pranešimo sistema. </w:t>
      </w:r>
      <w:r>
        <w:rPr>
          <w:rFonts w:eastAsia="Times New Roman"/>
        </w:rPr>
        <w:t>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3EB39983" w14:textId="77777777" w:rsidR="001912EB" w:rsidRDefault="001912EB" w:rsidP="001912EB">
      <w:pPr>
        <w:spacing w:line="200" w:lineRule="exact"/>
        <w:rPr>
          <w:sz w:val="20"/>
          <w:szCs w:val="20"/>
        </w:rPr>
      </w:pPr>
    </w:p>
    <w:p w14:paraId="0B151E5E" w14:textId="77777777" w:rsidR="001912EB" w:rsidRDefault="001912EB" w:rsidP="001912EB">
      <w:pPr>
        <w:spacing w:line="254" w:lineRule="exact"/>
        <w:rPr>
          <w:sz w:val="20"/>
          <w:szCs w:val="20"/>
        </w:rPr>
      </w:pPr>
    </w:p>
    <w:p w14:paraId="443AC594" w14:textId="77777777" w:rsidR="001912EB" w:rsidRDefault="001912EB" w:rsidP="001912EB">
      <w:pPr>
        <w:numPr>
          <w:ilvl w:val="0"/>
          <w:numId w:val="8"/>
        </w:numPr>
        <w:tabs>
          <w:tab w:val="left" w:pos="561"/>
        </w:tabs>
        <w:ind w:left="561" w:hanging="561"/>
        <w:rPr>
          <w:rFonts w:eastAsia="Times New Roman"/>
          <w:b/>
          <w:bCs/>
        </w:rPr>
      </w:pPr>
      <w:r>
        <w:rPr>
          <w:rFonts w:eastAsia="Times New Roman"/>
          <w:b/>
          <w:bCs/>
        </w:rPr>
        <w:t>Kaip laikyti Keppra</w:t>
      </w:r>
    </w:p>
    <w:p w14:paraId="1DBA98E8" w14:textId="77777777" w:rsidR="001912EB" w:rsidRDefault="001912EB" w:rsidP="001912EB">
      <w:pPr>
        <w:spacing w:line="250" w:lineRule="exact"/>
        <w:rPr>
          <w:sz w:val="20"/>
          <w:szCs w:val="20"/>
        </w:rPr>
      </w:pPr>
    </w:p>
    <w:p w14:paraId="1A88C377" w14:textId="77777777" w:rsidR="001912EB" w:rsidRDefault="001912EB" w:rsidP="001912EB">
      <w:pPr>
        <w:ind w:left="1"/>
        <w:rPr>
          <w:sz w:val="20"/>
          <w:szCs w:val="20"/>
        </w:rPr>
      </w:pPr>
      <w:r>
        <w:rPr>
          <w:rFonts w:eastAsia="Times New Roman"/>
        </w:rPr>
        <w:t>Šis vaistas laikykite vaikams nepastebimoje ir nepasiekiamoje vietoje.</w:t>
      </w:r>
    </w:p>
    <w:p w14:paraId="0BBF7524" w14:textId="77777777" w:rsidR="001912EB" w:rsidRDefault="001912EB" w:rsidP="001912EB">
      <w:pPr>
        <w:spacing w:line="253" w:lineRule="exact"/>
        <w:rPr>
          <w:sz w:val="20"/>
          <w:szCs w:val="20"/>
        </w:rPr>
      </w:pPr>
    </w:p>
    <w:p w14:paraId="4AFD8F70" w14:textId="77777777" w:rsidR="001912EB" w:rsidRDefault="001912EB" w:rsidP="001912EB">
      <w:pPr>
        <w:ind w:left="1" w:right="500"/>
        <w:rPr>
          <w:sz w:val="20"/>
          <w:szCs w:val="20"/>
        </w:rPr>
      </w:pPr>
      <w:r>
        <w:rPr>
          <w:rFonts w:eastAsia="Times New Roman"/>
        </w:rPr>
        <w:t>Ant kartono dėžutės po „Tinka iki“ nurodytam tinkamumo laikui pasibaigus ir flakono po „EXP“ nurodytam tinkamumo laikui pasibaigus, šio vaisto vartoti negalima.</w:t>
      </w:r>
    </w:p>
    <w:p w14:paraId="7C749FB7" w14:textId="77777777" w:rsidR="001912EB" w:rsidRDefault="001912EB" w:rsidP="001912EB">
      <w:pPr>
        <w:ind w:left="1"/>
        <w:rPr>
          <w:sz w:val="20"/>
          <w:szCs w:val="20"/>
        </w:rPr>
      </w:pPr>
      <w:r>
        <w:rPr>
          <w:rFonts w:eastAsia="Times New Roman"/>
        </w:rPr>
        <w:t>Vaistas tinkamas vartoti iki paskutinės nurodyto mėnesio dienos.</w:t>
      </w:r>
    </w:p>
    <w:p w14:paraId="21201C21" w14:textId="77777777" w:rsidR="001912EB" w:rsidRDefault="001912EB" w:rsidP="001912EB">
      <w:pPr>
        <w:spacing w:line="253" w:lineRule="exact"/>
        <w:rPr>
          <w:sz w:val="20"/>
          <w:szCs w:val="20"/>
        </w:rPr>
      </w:pPr>
    </w:p>
    <w:p w14:paraId="67E3E026" w14:textId="77777777" w:rsidR="001912EB" w:rsidRDefault="001912EB" w:rsidP="001912EB">
      <w:pPr>
        <w:ind w:left="1"/>
        <w:rPr>
          <w:sz w:val="20"/>
          <w:szCs w:val="20"/>
        </w:rPr>
      </w:pPr>
      <w:r>
        <w:rPr>
          <w:rFonts w:eastAsia="Times New Roman"/>
        </w:rPr>
        <w:t>Šiam vaistui specialių laikymo sąlygų nereikia.</w:t>
      </w:r>
    </w:p>
    <w:p w14:paraId="2C1AFA8E" w14:textId="77777777" w:rsidR="001912EB" w:rsidRDefault="001912EB" w:rsidP="001912EB">
      <w:pPr>
        <w:spacing w:line="200" w:lineRule="exact"/>
        <w:rPr>
          <w:sz w:val="20"/>
          <w:szCs w:val="20"/>
        </w:rPr>
      </w:pPr>
    </w:p>
    <w:p w14:paraId="220AF0E1" w14:textId="77777777" w:rsidR="001912EB" w:rsidRDefault="001912EB" w:rsidP="001912EB">
      <w:pPr>
        <w:spacing w:line="307" w:lineRule="exact"/>
        <w:rPr>
          <w:sz w:val="20"/>
          <w:szCs w:val="20"/>
        </w:rPr>
      </w:pPr>
    </w:p>
    <w:p w14:paraId="18C7B2AB" w14:textId="77777777" w:rsidR="001912EB" w:rsidRDefault="001912EB" w:rsidP="001912EB">
      <w:pPr>
        <w:numPr>
          <w:ilvl w:val="0"/>
          <w:numId w:val="9"/>
        </w:numPr>
        <w:tabs>
          <w:tab w:val="left" w:pos="561"/>
        </w:tabs>
        <w:ind w:left="561" w:hanging="561"/>
        <w:rPr>
          <w:rFonts w:eastAsia="Times New Roman"/>
          <w:b/>
          <w:bCs/>
        </w:rPr>
      </w:pPr>
      <w:r>
        <w:rPr>
          <w:rFonts w:eastAsia="Times New Roman"/>
          <w:b/>
          <w:bCs/>
        </w:rPr>
        <w:t>Pakuotės turinys ir kita informacija</w:t>
      </w:r>
    </w:p>
    <w:p w14:paraId="401E162C" w14:textId="77777777" w:rsidR="001912EB" w:rsidRDefault="001912EB" w:rsidP="001912EB">
      <w:pPr>
        <w:spacing w:line="252" w:lineRule="exact"/>
        <w:rPr>
          <w:sz w:val="20"/>
          <w:szCs w:val="20"/>
        </w:rPr>
      </w:pPr>
    </w:p>
    <w:p w14:paraId="5D457DD5" w14:textId="77777777" w:rsidR="001912EB" w:rsidRDefault="001912EB" w:rsidP="001912EB">
      <w:pPr>
        <w:ind w:left="1"/>
        <w:rPr>
          <w:sz w:val="20"/>
          <w:szCs w:val="20"/>
        </w:rPr>
      </w:pPr>
      <w:r>
        <w:rPr>
          <w:rFonts w:eastAsia="Times New Roman"/>
          <w:b/>
          <w:bCs/>
        </w:rPr>
        <w:t>Keppra sudėtis</w:t>
      </w:r>
    </w:p>
    <w:p w14:paraId="4DF94B24" w14:textId="77777777" w:rsidR="001912EB" w:rsidRDefault="001912EB" w:rsidP="001912EB">
      <w:pPr>
        <w:ind w:left="1"/>
        <w:rPr>
          <w:sz w:val="20"/>
          <w:szCs w:val="20"/>
        </w:rPr>
      </w:pPr>
      <w:r>
        <w:rPr>
          <w:rFonts w:eastAsia="Times New Roman"/>
        </w:rPr>
        <w:t>Veiklioji medžiaga yra levetiracetamas. Kiekviename ml yra 100 mg levetiracetamo.</w:t>
      </w:r>
    </w:p>
    <w:p w14:paraId="6FC47A18" w14:textId="77777777" w:rsidR="001912EB" w:rsidRDefault="001912EB" w:rsidP="001912EB">
      <w:pPr>
        <w:spacing w:line="1" w:lineRule="exact"/>
        <w:rPr>
          <w:sz w:val="20"/>
          <w:szCs w:val="20"/>
        </w:rPr>
      </w:pPr>
    </w:p>
    <w:p w14:paraId="5F8CD8A3" w14:textId="77777777" w:rsidR="001912EB" w:rsidRDefault="001912EB" w:rsidP="001912EB">
      <w:pPr>
        <w:ind w:left="1"/>
        <w:rPr>
          <w:sz w:val="20"/>
          <w:szCs w:val="20"/>
        </w:rPr>
      </w:pPr>
      <w:r>
        <w:rPr>
          <w:rFonts w:eastAsia="Times New Roman"/>
        </w:rPr>
        <w:t>Pagalbinės medžiagos yra: natrio acetatas, acto rūgštis, ledinė, natrio chloridas, injekcinis vanduo.</w:t>
      </w:r>
    </w:p>
    <w:p w14:paraId="395FD10A" w14:textId="77777777" w:rsidR="001912EB" w:rsidRDefault="001912EB" w:rsidP="001912EB">
      <w:pPr>
        <w:spacing w:line="252" w:lineRule="exact"/>
        <w:rPr>
          <w:sz w:val="20"/>
          <w:szCs w:val="20"/>
        </w:rPr>
      </w:pPr>
    </w:p>
    <w:p w14:paraId="2BE32EB9" w14:textId="77777777" w:rsidR="001912EB" w:rsidRDefault="001912EB" w:rsidP="001912EB">
      <w:pPr>
        <w:ind w:left="1"/>
        <w:rPr>
          <w:sz w:val="20"/>
          <w:szCs w:val="20"/>
        </w:rPr>
      </w:pPr>
      <w:r>
        <w:rPr>
          <w:rFonts w:eastAsia="Times New Roman"/>
          <w:b/>
          <w:bCs/>
        </w:rPr>
        <w:t>Keppra išvaizda ir kiekis pakuotėje</w:t>
      </w:r>
    </w:p>
    <w:p w14:paraId="45842AA0" w14:textId="77777777" w:rsidR="001912EB" w:rsidRDefault="001912EB" w:rsidP="001912EB">
      <w:pPr>
        <w:ind w:left="1"/>
        <w:rPr>
          <w:sz w:val="20"/>
          <w:szCs w:val="20"/>
        </w:rPr>
      </w:pPr>
      <w:r>
        <w:rPr>
          <w:rFonts w:eastAsia="Times New Roman"/>
        </w:rPr>
        <w:t>Keppra koncentratas infuziniam tirpalui (sterilus koncentratas) yra skaidrus, bespalvis, skystis.</w:t>
      </w:r>
    </w:p>
    <w:p w14:paraId="7A641789" w14:textId="77777777" w:rsidR="001912EB" w:rsidRDefault="001912EB" w:rsidP="001912EB">
      <w:pPr>
        <w:ind w:left="1"/>
        <w:rPr>
          <w:sz w:val="20"/>
          <w:szCs w:val="20"/>
        </w:rPr>
      </w:pPr>
      <w:r>
        <w:rPr>
          <w:rFonts w:eastAsia="Times New Roman"/>
        </w:rPr>
        <w:t>Keppra koncentratas infuziniam tirpalui tiekiamas, kartono dėžutėje, kurioje yra 10 flakonų po 5 ml.</w:t>
      </w:r>
    </w:p>
    <w:p w14:paraId="6CE7D3AF" w14:textId="77777777" w:rsidR="001912EB" w:rsidRDefault="001912EB" w:rsidP="001912EB">
      <w:pPr>
        <w:spacing w:line="255" w:lineRule="exact"/>
        <w:rPr>
          <w:sz w:val="20"/>
          <w:szCs w:val="20"/>
        </w:rPr>
      </w:pPr>
    </w:p>
    <w:p w14:paraId="14B0D697" w14:textId="77777777" w:rsidR="001912EB" w:rsidRDefault="001912EB" w:rsidP="001912EB">
      <w:pPr>
        <w:ind w:left="1"/>
        <w:rPr>
          <w:sz w:val="20"/>
          <w:szCs w:val="20"/>
        </w:rPr>
      </w:pPr>
      <w:r>
        <w:rPr>
          <w:rFonts w:eastAsia="Times New Roman"/>
          <w:b/>
          <w:bCs/>
        </w:rPr>
        <w:t>Registruotojas</w:t>
      </w:r>
    </w:p>
    <w:p w14:paraId="5F2515A0" w14:textId="77777777" w:rsidR="001912EB" w:rsidRDefault="001912EB" w:rsidP="001912EB">
      <w:pPr>
        <w:ind w:left="1"/>
        <w:rPr>
          <w:sz w:val="20"/>
          <w:szCs w:val="20"/>
        </w:rPr>
      </w:pPr>
      <w:r>
        <w:rPr>
          <w:rFonts w:eastAsia="Times New Roman"/>
        </w:rPr>
        <w:t>UCB Pharma SA, Allée de la Recherche 60, B-1070 Brussels, Belgija.</w:t>
      </w:r>
    </w:p>
    <w:p w14:paraId="2CBB92DD" w14:textId="77777777" w:rsidR="001912EB" w:rsidRDefault="001912EB" w:rsidP="001912EB">
      <w:pPr>
        <w:spacing w:line="252" w:lineRule="exact"/>
        <w:rPr>
          <w:sz w:val="20"/>
          <w:szCs w:val="20"/>
        </w:rPr>
      </w:pPr>
    </w:p>
    <w:p w14:paraId="32FDE5CD" w14:textId="77777777" w:rsidR="001912EB" w:rsidRDefault="001912EB" w:rsidP="001912EB">
      <w:pPr>
        <w:ind w:left="1"/>
        <w:rPr>
          <w:sz w:val="20"/>
          <w:szCs w:val="20"/>
        </w:rPr>
      </w:pPr>
      <w:r>
        <w:rPr>
          <w:rFonts w:eastAsia="Times New Roman"/>
          <w:b/>
          <w:bCs/>
        </w:rPr>
        <w:t>Gamintojas</w:t>
      </w:r>
    </w:p>
    <w:p w14:paraId="5165C82E" w14:textId="77777777" w:rsidR="001912EB" w:rsidRDefault="001912EB" w:rsidP="001912EB">
      <w:pPr>
        <w:ind w:left="1"/>
        <w:rPr>
          <w:sz w:val="20"/>
          <w:szCs w:val="20"/>
        </w:rPr>
      </w:pPr>
      <w:r>
        <w:rPr>
          <w:rFonts w:eastAsia="Times New Roman"/>
        </w:rPr>
        <w:t>UCB Pharma SA, Chemin du Foriest, B-1420 Braine-l’Alleud, Belgija</w:t>
      </w:r>
    </w:p>
    <w:p w14:paraId="48BD7D54" w14:textId="77777777" w:rsidR="001912EB" w:rsidRDefault="001912EB" w:rsidP="001912EB">
      <w:pPr>
        <w:tabs>
          <w:tab w:val="left" w:pos="1681"/>
        </w:tabs>
        <w:ind w:left="1"/>
        <w:rPr>
          <w:sz w:val="20"/>
          <w:szCs w:val="20"/>
        </w:rPr>
      </w:pPr>
      <w:r>
        <w:rPr>
          <w:rFonts w:eastAsia="Times New Roman"/>
        </w:rPr>
        <w:t>arba</w:t>
      </w:r>
      <w:r>
        <w:rPr>
          <w:sz w:val="20"/>
          <w:szCs w:val="20"/>
        </w:rPr>
        <w:tab/>
      </w:r>
      <w:r>
        <w:rPr>
          <w:rFonts w:eastAsia="Times New Roman"/>
        </w:rPr>
        <w:t>Aesica Pharmaceuticals S.r.l., Via Praglia 15, I-10044 Pianezza, Italija.</w:t>
      </w:r>
    </w:p>
    <w:p w14:paraId="287DD995" w14:textId="77777777" w:rsidR="001912EB" w:rsidRDefault="001912EB" w:rsidP="001912E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456EFC2A" wp14:editId="4DCCA303">
                <wp:simplePos x="0" y="0"/>
                <wp:positionH relativeFrom="column">
                  <wp:posOffset>0</wp:posOffset>
                </wp:positionH>
                <wp:positionV relativeFrom="paragraph">
                  <wp:posOffset>-140970</wp:posOffset>
                </wp:positionV>
                <wp:extent cx="5064760" cy="160655"/>
                <wp:effectExtent l="0" t="0" r="0" b="0"/>
                <wp:wrapNone/>
                <wp:docPr id="1459" name="Shape 1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160655"/>
                        </a:xfrm>
                        <a:prstGeom prst="rect">
                          <a:avLst/>
                        </a:prstGeom>
                        <a:solidFill>
                          <a:srgbClr val="D3D3D3"/>
                        </a:solidFill>
                      </wps:spPr>
                      <wps:bodyPr/>
                    </wps:wsp>
                  </a:graphicData>
                </a:graphic>
              </wp:anchor>
            </w:drawing>
          </mc:Choice>
          <mc:Fallback>
            <w:pict>
              <v:rect w14:anchorId="28457448" id="Shape 1459" o:spid="_x0000_s1026" style="position:absolute;margin-left:0;margin-top:-11.1pt;width:398.8pt;height:12.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" o:allowincell="f" fillcolor="#d3d3d3" stroked="f"/>
            </w:pict>
          </mc:Fallback>
        </mc:AlternateContent>
      </w:r>
    </w:p>
    <w:p w14:paraId="7F10E957" w14:textId="77777777" w:rsidR="001912EB" w:rsidRDefault="001912EB" w:rsidP="001912EB">
      <w:pPr>
        <w:spacing w:line="234" w:lineRule="exact"/>
        <w:rPr>
          <w:sz w:val="20"/>
          <w:szCs w:val="20"/>
        </w:rPr>
      </w:pPr>
    </w:p>
    <w:p w14:paraId="46D4A1FF" w14:textId="77777777" w:rsidR="001912EB" w:rsidRDefault="001912EB" w:rsidP="001912EB">
      <w:pPr>
        <w:ind w:left="1"/>
        <w:rPr>
          <w:sz w:val="20"/>
          <w:szCs w:val="20"/>
        </w:rPr>
      </w:pPr>
      <w:r>
        <w:rPr>
          <w:rFonts w:eastAsia="Times New Roman"/>
        </w:rPr>
        <w:t>Jeigu apie šį vaistą norite sužinoti daugiau, kreipkitės į vietinį registruotojo atstovą.</w:t>
      </w:r>
    </w:p>
    <w:p w14:paraId="665782FC" w14:textId="77777777" w:rsidR="001912EB" w:rsidRDefault="001912EB" w:rsidP="001912EB">
      <w:pPr>
        <w:spacing w:line="200" w:lineRule="exact"/>
        <w:rPr>
          <w:sz w:val="20"/>
          <w:szCs w:val="20"/>
        </w:rPr>
      </w:pPr>
    </w:p>
    <w:p w14:paraId="4648E519" w14:textId="77777777" w:rsidR="001912EB" w:rsidRDefault="001912EB" w:rsidP="001912EB">
      <w:pPr>
        <w:spacing w:line="200" w:lineRule="exact"/>
        <w:rPr>
          <w:sz w:val="20"/>
          <w:szCs w:val="20"/>
        </w:rPr>
      </w:pPr>
    </w:p>
    <w:p w14:paraId="7589CAF8" w14:textId="77777777" w:rsidR="001912EB" w:rsidRDefault="001912EB" w:rsidP="001912EB">
      <w:pPr>
        <w:spacing w:line="353" w:lineRule="exact"/>
        <w:rPr>
          <w:sz w:val="20"/>
          <w:szCs w:val="20"/>
        </w:rPr>
      </w:pPr>
    </w:p>
    <w:p w14:paraId="423C7299" w14:textId="77777777" w:rsidR="001912EB" w:rsidRDefault="001912EB" w:rsidP="001912EB">
      <w:pPr>
        <w:ind w:right="339"/>
        <w:jc w:val="center"/>
        <w:rPr>
          <w:sz w:val="20"/>
          <w:szCs w:val="20"/>
        </w:rPr>
      </w:pPr>
      <w:r>
        <w:rPr>
          <w:rFonts w:ascii="Arial" w:eastAsia="Arial" w:hAnsi="Arial" w:cs="Arial"/>
          <w:sz w:val="16"/>
          <w:szCs w:val="16"/>
        </w:rPr>
        <w:t>164</w:t>
      </w:r>
    </w:p>
    <w:p w14:paraId="24051DA4" w14:textId="77777777" w:rsidR="001912EB" w:rsidRDefault="001912EB" w:rsidP="001912EB">
      <w:pPr>
        <w:sectPr w:rsidR="001912EB">
          <w:pgSz w:w="11900" w:h="16838"/>
          <w:pgMar w:top="1116" w:right="1426" w:bottom="176" w:left="1419" w:header="0" w:footer="0" w:gutter="0"/>
          <w:cols w:space="720" w:equalWidth="0">
            <w:col w:w="9061"/>
          </w:cols>
        </w:sectPr>
      </w:pPr>
    </w:p>
    <w:p w14:paraId="734EF00C" w14:textId="77777777" w:rsidR="001912EB" w:rsidRDefault="001912EB" w:rsidP="001912EB">
      <w:pPr>
        <w:spacing w:line="1" w:lineRule="exact"/>
        <w:rPr>
          <w:sz w:val="20"/>
          <w:szCs w:val="20"/>
        </w:rPr>
      </w:pPr>
      <w:bookmarkStart w:id="4" w:name="page165"/>
      <w:bookmarkEnd w:id="4"/>
    </w:p>
    <w:p w14:paraId="365BE389" w14:textId="77777777" w:rsidR="001912EB" w:rsidRDefault="001912EB" w:rsidP="001912EB">
      <w:pPr>
        <w:spacing w:line="277" w:lineRule="auto"/>
        <w:ind w:right="1340"/>
        <w:rPr>
          <w:sz w:val="20"/>
          <w:szCs w:val="20"/>
        </w:rPr>
      </w:pPr>
      <w:r>
        <w:rPr>
          <w:rFonts w:eastAsia="Times New Roman"/>
          <w:b/>
          <w:bCs/>
          <w:sz w:val="21"/>
          <w:szCs w:val="21"/>
        </w:rPr>
        <w:t xml:space="preserve">België/Belgique/Belgien </w:t>
      </w:r>
      <w:r>
        <w:rPr>
          <w:rFonts w:eastAsia="Times New Roman"/>
          <w:sz w:val="21"/>
          <w:szCs w:val="21"/>
        </w:rPr>
        <w:t>UCB Pharma SA /NV Tel/Tél: + 32/ (0)2 559 92 00</w:t>
      </w:r>
    </w:p>
    <w:p w14:paraId="7E34DD40" w14:textId="77777777" w:rsidR="001912EB" w:rsidRDefault="001912EB" w:rsidP="001912EB">
      <w:pPr>
        <w:spacing w:line="20" w:lineRule="exact"/>
        <w:rPr>
          <w:sz w:val="20"/>
          <w:szCs w:val="20"/>
        </w:rPr>
      </w:pPr>
      <w:r>
        <w:rPr>
          <w:sz w:val="20"/>
          <w:szCs w:val="20"/>
        </w:rPr>
        <w:br w:type="column"/>
      </w:r>
    </w:p>
    <w:p w14:paraId="4D18E253" w14:textId="77777777" w:rsidR="001912EB" w:rsidRDefault="001912EB" w:rsidP="001912EB">
      <w:pPr>
        <w:rPr>
          <w:sz w:val="20"/>
          <w:szCs w:val="20"/>
        </w:rPr>
      </w:pPr>
      <w:r>
        <w:rPr>
          <w:rFonts w:eastAsia="Times New Roman"/>
          <w:b/>
          <w:bCs/>
        </w:rPr>
        <w:t>Lietuva</w:t>
      </w:r>
    </w:p>
    <w:p w14:paraId="4EAF7094" w14:textId="77777777" w:rsidR="001912EB" w:rsidRDefault="001912EB" w:rsidP="001912EB">
      <w:pPr>
        <w:rPr>
          <w:sz w:val="20"/>
          <w:szCs w:val="20"/>
        </w:rPr>
      </w:pPr>
      <w:r>
        <w:rPr>
          <w:rFonts w:eastAsia="Times New Roman"/>
        </w:rPr>
        <w:t>UCB Pharma Oy Finland</w:t>
      </w:r>
    </w:p>
    <w:p w14:paraId="3B7EC338" w14:textId="77777777" w:rsidR="001912EB" w:rsidRDefault="001912EB" w:rsidP="001912EB">
      <w:pPr>
        <w:rPr>
          <w:sz w:val="20"/>
          <w:szCs w:val="20"/>
        </w:rPr>
      </w:pPr>
      <w:r>
        <w:rPr>
          <w:rFonts w:eastAsia="Times New Roman"/>
        </w:rPr>
        <w:t>Tel: +358 9 2514 4221 (Suomija)</w:t>
      </w:r>
    </w:p>
    <w:p w14:paraId="091412F0" w14:textId="77777777" w:rsidR="001912EB" w:rsidRDefault="001912EB" w:rsidP="001912EB">
      <w:pPr>
        <w:spacing w:line="254" w:lineRule="exact"/>
        <w:rPr>
          <w:sz w:val="20"/>
          <w:szCs w:val="20"/>
        </w:rPr>
      </w:pPr>
    </w:p>
    <w:p w14:paraId="622741A0" w14:textId="77777777" w:rsidR="001912EB" w:rsidRDefault="001912EB" w:rsidP="001912EB">
      <w:pPr>
        <w:sectPr w:rsidR="001912EB">
          <w:pgSz w:w="11900" w:h="16838"/>
          <w:pgMar w:top="1103" w:right="1440" w:bottom="180" w:left="1420" w:header="0" w:footer="0" w:gutter="0"/>
          <w:cols w:num="2" w:space="720" w:equalWidth="0">
            <w:col w:w="3920" w:space="720"/>
            <w:col w:w="4406"/>
          </w:cols>
        </w:sectPr>
      </w:pPr>
    </w:p>
    <w:p w14:paraId="170D790F" w14:textId="77777777" w:rsidR="001912EB" w:rsidRDefault="001912EB" w:rsidP="001912EB">
      <w:pPr>
        <w:rPr>
          <w:sz w:val="20"/>
          <w:szCs w:val="20"/>
        </w:rPr>
      </w:pPr>
      <w:r>
        <w:rPr>
          <w:rFonts w:eastAsia="Times New Roman"/>
          <w:b/>
          <w:bCs/>
        </w:rPr>
        <w:t>България</w:t>
      </w:r>
    </w:p>
    <w:p w14:paraId="7AE9F76F" w14:textId="77777777" w:rsidR="001912EB" w:rsidRDefault="001912EB" w:rsidP="001912EB">
      <w:pPr>
        <w:rPr>
          <w:sz w:val="20"/>
          <w:szCs w:val="20"/>
        </w:rPr>
      </w:pPr>
      <w:r>
        <w:rPr>
          <w:rFonts w:eastAsia="Times New Roman"/>
          <w:sz w:val="21"/>
          <w:szCs w:val="21"/>
        </w:rPr>
        <w:t>Ю СИ БИ България ЕООД</w:t>
      </w:r>
    </w:p>
    <w:p w14:paraId="7CC645FF" w14:textId="77777777" w:rsidR="001912EB" w:rsidRDefault="001912EB" w:rsidP="001912EB">
      <w:pPr>
        <w:spacing w:line="11" w:lineRule="exact"/>
        <w:rPr>
          <w:sz w:val="20"/>
          <w:szCs w:val="20"/>
        </w:rPr>
      </w:pPr>
    </w:p>
    <w:p w14:paraId="5D783E66" w14:textId="77777777" w:rsidR="001912EB" w:rsidRDefault="001912EB" w:rsidP="001912EB">
      <w:pPr>
        <w:rPr>
          <w:sz w:val="20"/>
          <w:szCs w:val="20"/>
        </w:rPr>
      </w:pPr>
      <w:r>
        <w:rPr>
          <w:rFonts w:eastAsia="Times New Roman"/>
        </w:rPr>
        <w:t>Teл.: + 359 (0) 2 962 30 49</w:t>
      </w:r>
    </w:p>
    <w:p w14:paraId="68FEA525" w14:textId="77777777" w:rsidR="001912EB" w:rsidRDefault="001912EB" w:rsidP="001912EB">
      <w:pPr>
        <w:spacing w:line="20" w:lineRule="exact"/>
        <w:rPr>
          <w:sz w:val="20"/>
          <w:szCs w:val="20"/>
        </w:rPr>
      </w:pPr>
      <w:r>
        <w:rPr>
          <w:sz w:val="20"/>
          <w:szCs w:val="20"/>
        </w:rPr>
        <w:br w:type="column"/>
      </w:r>
    </w:p>
    <w:p w14:paraId="0C127155" w14:textId="77777777" w:rsidR="001912EB" w:rsidRDefault="001912EB" w:rsidP="001912EB">
      <w:pPr>
        <w:rPr>
          <w:sz w:val="20"/>
          <w:szCs w:val="20"/>
        </w:rPr>
      </w:pPr>
      <w:r>
        <w:rPr>
          <w:rFonts w:eastAsia="Times New Roman"/>
          <w:b/>
          <w:bCs/>
        </w:rPr>
        <w:t>Luxembourg/Luxemburg</w:t>
      </w:r>
    </w:p>
    <w:p w14:paraId="3A928B24" w14:textId="77777777" w:rsidR="001912EB" w:rsidRDefault="001912EB" w:rsidP="001912EB">
      <w:pPr>
        <w:rPr>
          <w:sz w:val="20"/>
          <w:szCs w:val="20"/>
        </w:rPr>
      </w:pPr>
      <w:r>
        <w:rPr>
          <w:rFonts w:eastAsia="Times New Roman"/>
        </w:rPr>
        <w:t>UCB Pharma SA/NV</w:t>
      </w:r>
    </w:p>
    <w:p w14:paraId="22F0C5F0" w14:textId="77777777" w:rsidR="001912EB" w:rsidRDefault="001912EB" w:rsidP="001912EB">
      <w:pPr>
        <w:rPr>
          <w:sz w:val="20"/>
          <w:szCs w:val="20"/>
        </w:rPr>
      </w:pPr>
      <w:r>
        <w:rPr>
          <w:rFonts w:eastAsia="Times New Roman"/>
        </w:rPr>
        <w:t>Tél/Tel: + 32 / (0)2 559 92 00</w:t>
      </w:r>
    </w:p>
    <w:p w14:paraId="09E64435" w14:textId="77777777" w:rsidR="001912EB" w:rsidRDefault="001912EB" w:rsidP="001912EB">
      <w:pPr>
        <w:spacing w:line="200" w:lineRule="exact"/>
        <w:rPr>
          <w:sz w:val="20"/>
          <w:szCs w:val="20"/>
        </w:rPr>
      </w:pPr>
    </w:p>
    <w:p w14:paraId="61D36BAF"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06D70EE4" w14:textId="77777777" w:rsidR="001912EB" w:rsidRDefault="001912EB" w:rsidP="001912EB">
      <w:pPr>
        <w:spacing w:line="52" w:lineRule="exact"/>
        <w:rPr>
          <w:sz w:val="20"/>
          <w:szCs w:val="20"/>
        </w:rPr>
      </w:pPr>
    </w:p>
    <w:p w14:paraId="0362ED0A" w14:textId="77777777" w:rsidR="001912EB" w:rsidRDefault="001912EB" w:rsidP="001912EB">
      <w:pPr>
        <w:rPr>
          <w:sz w:val="20"/>
          <w:szCs w:val="20"/>
        </w:rPr>
      </w:pPr>
      <w:r>
        <w:rPr>
          <w:rFonts w:eastAsia="Times New Roman"/>
          <w:b/>
          <w:bCs/>
        </w:rPr>
        <w:t>Česká republika</w:t>
      </w:r>
    </w:p>
    <w:p w14:paraId="052C528E" w14:textId="77777777" w:rsidR="001912EB" w:rsidRDefault="001912EB" w:rsidP="001912EB">
      <w:pPr>
        <w:rPr>
          <w:sz w:val="20"/>
          <w:szCs w:val="20"/>
        </w:rPr>
      </w:pPr>
      <w:r>
        <w:rPr>
          <w:rFonts w:eastAsia="Times New Roman"/>
        </w:rPr>
        <w:t>UCB s.r.o.</w:t>
      </w:r>
    </w:p>
    <w:p w14:paraId="1067D4BA" w14:textId="77777777" w:rsidR="001912EB" w:rsidRDefault="001912EB" w:rsidP="001912EB">
      <w:pPr>
        <w:spacing w:line="1" w:lineRule="exact"/>
        <w:rPr>
          <w:sz w:val="20"/>
          <w:szCs w:val="20"/>
        </w:rPr>
      </w:pPr>
    </w:p>
    <w:p w14:paraId="7A588D74" w14:textId="77777777" w:rsidR="001912EB" w:rsidRDefault="001912EB" w:rsidP="001912EB">
      <w:pPr>
        <w:rPr>
          <w:sz w:val="20"/>
          <w:szCs w:val="20"/>
        </w:rPr>
      </w:pPr>
      <w:r>
        <w:rPr>
          <w:rFonts w:eastAsia="Times New Roman"/>
        </w:rPr>
        <w:t>Tel: + 420 221 773 411</w:t>
      </w:r>
    </w:p>
    <w:p w14:paraId="32378996" w14:textId="77777777" w:rsidR="001912EB" w:rsidRDefault="001912EB" w:rsidP="001912EB">
      <w:pPr>
        <w:spacing w:line="20" w:lineRule="exact"/>
        <w:rPr>
          <w:sz w:val="20"/>
          <w:szCs w:val="20"/>
        </w:rPr>
      </w:pPr>
      <w:r>
        <w:rPr>
          <w:sz w:val="20"/>
          <w:szCs w:val="20"/>
        </w:rPr>
        <w:br w:type="column"/>
      </w:r>
    </w:p>
    <w:p w14:paraId="17A60F72" w14:textId="77777777" w:rsidR="001912EB" w:rsidRDefault="001912EB" w:rsidP="001912EB">
      <w:pPr>
        <w:spacing w:line="32" w:lineRule="exact"/>
        <w:rPr>
          <w:sz w:val="20"/>
          <w:szCs w:val="20"/>
        </w:rPr>
      </w:pPr>
    </w:p>
    <w:p w14:paraId="58AB349F" w14:textId="77777777" w:rsidR="001912EB" w:rsidRDefault="001912EB" w:rsidP="001912EB">
      <w:pPr>
        <w:rPr>
          <w:sz w:val="20"/>
          <w:szCs w:val="20"/>
        </w:rPr>
      </w:pPr>
      <w:r>
        <w:rPr>
          <w:rFonts w:eastAsia="Times New Roman"/>
          <w:b/>
          <w:bCs/>
        </w:rPr>
        <w:t>Magyarország</w:t>
      </w:r>
    </w:p>
    <w:p w14:paraId="3B0E980C" w14:textId="77777777" w:rsidR="001912EB" w:rsidRDefault="001912EB" w:rsidP="001912EB">
      <w:pPr>
        <w:rPr>
          <w:sz w:val="20"/>
          <w:szCs w:val="20"/>
        </w:rPr>
      </w:pPr>
      <w:r>
        <w:rPr>
          <w:rFonts w:eastAsia="Times New Roman"/>
        </w:rPr>
        <w:t>UCB Magyarország Kft.</w:t>
      </w:r>
    </w:p>
    <w:p w14:paraId="39EBC77F" w14:textId="77777777" w:rsidR="001912EB" w:rsidRDefault="001912EB" w:rsidP="001912EB">
      <w:pPr>
        <w:spacing w:line="1" w:lineRule="exact"/>
        <w:rPr>
          <w:sz w:val="20"/>
          <w:szCs w:val="20"/>
        </w:rPr>
      </w:pPr>
    </w:p>
    <w:p w14:paraId="25512363" w14:textId="77777777" w:rsidR="001912EB" w:rsidRDefault="001912EB" w:rsidP="001912EB">
      <w:pPr>
        <w:rPr>
          <w:sz w:val="20"/>
          <w:szCs w:val="20"/>
        </w:rPr>
      </w:pPr>
      <w:r>
        <w:rPr>
          <w:rFonts w:eastAsia="Times New Roman"/>
        </w:rPr>
        <w:t>Tel.: + 36-(1) 391 0060</w:t>
      </w:r>
    </w:p>
    <w:p w14:paraId="34C7550C" w14:textId="77777777" w:rsidR="001912EB" w:rsidRDefault="001912EB" w:rsidP="001912EB">
      <w:pPr>
        <w:spacing w:line="200" w:lineRule="exact"/>
        <w:rPr>
          <w:sz w:val="20"/>
          <w:szCs w:val="20"/>
        </w:rPr>
      </w:pPr>
    </w:p>
    <w:p w14:paraId="5E167D28"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1FCC5288" w14:textId="77777777" w:rsidR="001912EB" w:rsidRDefault="001912EB" w:rsidP="001912EB">
      <w:pPr>
        <w:spacing w:line="52" w:lineRule="exact"/>
        <w:rPr>
          <w:sz w:val="20"/>
          <w:szCs w:val="20"/>
        </w:rPr>
      </w:pPr>
    </w:p>
    <w:p w14:paraId="7C86ED91" w14:textId="77777777" w:rsidR="001912EB" w:rsidRDefault="001912EB" w:rsidP="001912EB">
      <w:pPr>
        <w:rPr>
          <w:sz w:val="20"/>
          <w:szCs w:val="20"/>
        </w:rPr>
      </w:pPr>
      <w:r>
        <w:rPr>
          <w:rFonts w:eastAsia="Times New Roman"/>
          <w:b/>
          <w:bCs/>
        </w:rPr>
        <w:t>Danmark</w:t>
      </w:r>
    </w:p>
    <w:p w14:paraId="5F54BC6D" w14:textId="77777777" w:rsidR="001912EB" w:rsidRDefault="001912EB" w:rsidP="001912EB">
      <w:pPr>
        <w:rPr>
          <w:sz w:val="20"/>
          <w:szCs w:val="20"/>
        </w:rPr>
      </w:pPr>
      <w:r>
        <w:rPr>
          <w:rFonts w:eastAsia="Times New Roman"/>
        </w:rPr>
        <w:t>UCB Nordic A/S</w:t>
      </w:r>
    </w:p>
    <w:p w14:paraId="50CD790A" w14:textId="77777777" w:rsidR="001912EB" w:rsidRDefault="001912EB" w:rsidP="001912EB">
      <w:pPr>
        <w:rPr>
          <w:sz w:val="20"/>
          <w:szCs w:val="20"/>
        </w:rPr>
      </w:pPr>
      <w:r>
        <w:rPr>
          <w:rFonts w:eastAsia="Times New Roman"/>
          <w:sz w:val="21"/>
          <w:szCs w:val="21"/>
        </w:rPr>
        <w:t>Tlf: + 45 / 32 46 24 00</w:t>
      </w:r>
    </w:p>
    <w:p w14:paraId="75A94D7F" w14:textId="77777777" w:rsidR="001912EB" w:rsidRDefault="001912EB" w:rsidP="001912EB">
      <w:pPr>
        <w:spacing w:line="20" w:lineRule="exact"/>
        <w:rPr>
          <w:sz w:val="20"/>
          <w:szCs w:val="20"/>
        </w:rPr>
      </w:pPr>
      <w:r>
        <w:rPr>
          <w:sz w:val="20"/>
          <w:szCs w:val="20"/>
        </w:rPr>
        <w:br w:type="column"/>
      </w:r>
    </w:p>
    <w:p w14:paraId="7B0EEB4F" w14:textId="77777777" w:rsidR="001912EB" w:rsidRDefault="001912EB" w:rsidP="001912EB">
      <w:pPr>
        <w:spacing w:line="32" w:lineRule="exact"/>
        <w:rPr>
          <w:sz w:val="20"/>
          <w:szCs w:val="20"/>
        </w:rPr>
      </w:pPr>
    </w:p>
    <w:p w14:paraId="06661E61" w14:textId="77777777" w:rsidR="001912EB" w:rsidRDefault="001912EB" w:rsidP="001912EB">
      <w:pPr>
        <w:rPr>
          <w:sz w:val="20"/>
          <w:szCs w:val="20"/>
        </w:rPr>
      </w:pPr>
      <w:r>
        <w:rPr>
          <w:rFonts w:eastAsia="Times New Roman"/>
          <w:b/>
          <w:bCs/>
        </w:rPr>
        <w:t>Malta</w:t>
      </w:r>
    </w:p>
    <w:p w14:paraId="16A81947" w14:textId="77777777" w:rsidR="001912EB" w:rsidRDefault="001912EB" w:rsidP="001912EB">
      <w:pPr>
        <w:rPr>
          <w:sz w:val="20"/>
          <w:szCs w:val="20"/>
        </w:rPr>
      </w:pPr>
      <w:r>
        <w:rPr>
          <w:rFonts w:eastAsia="Times New Roman"/>
        </w:rPr>
        <w:t>Pharmasud Ltd.</w:t>
      </w:r>
    </w:p>
    <w:p w14:paraId="49DE6872" w14:textId="77777777" w:rsidR="001912EB" w:rsidRDefault="001912EB" w:rsidP="001912EB">
      <w:pPr>
        <w:rPr>
          <w:sz w:val="20"/>
          <w:szCs w:val="20"/>
        </w:rPr>
      </w:pPr>
      <w:r>
        <w:rPr>
          <w:rFonts w:eastAsia="Times New Roman"/>
        </w:rPr>
        <w:t>Tel: + 356 / 21 37 64 36</w:t>
      </w:r>
    </w:p>
    <w:p w14:paraId="7459CB55" w14:textId="77777777" w:rsidR="001912EB" w:rsidRDefault="001912EB" w:rsidP="001912EB">
      <w:pPr>
        <w:spacing w:line="200" w:lineRule="exact"/>
        <w:rPr>
          <w:sz w:val="20"/>
          <w:szCs w:val="20"/>
        </w:rPr>
      </w:pPr>
    </w:p>
    <w:p w14:paraId="33DA67A0"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5CC646C1" w14:textId="77777777" w:rsidR="001912EB" w:rsidRDefault="001912EB" w:rsidP="001912EB">
      <w:pPr>
        <w:spacing w:line="53" w:lineRule="exact"/>
        <w:rPr>
          <w:sz w:val="20"/>
          <w:szCs w:val="20"/>
        </w:rPr>
      </w:pPr>
    </w:p>
    <w:p w14:paraId="3D954DF4" w14:textId="77777777" w:rsidR="001912EB" w:rsidRDefault="001912EB" w:rsidP="001912EB">
      <w:pPr>
        <w:rPr>
          <w:sz w:val="20"/>
          <w:szCs w:val="20"/>
        </w:rPr>
      </w:pPr>
      <w:r>
        <w:rPr>
          <w:rFonts w:eastAsia="Times New Roman"/>
          <w:b/>
          <w:bCs/>
        </w:rPr>
        <w:t>Deutschland</w:t>
      </w:r>
    </w:p>
    <w:p w14:paraId="23DC5C70" w14:textId="77777777" w:rsidR="001912EB" w:rsidRDefault="001912EB" w:rsidP="001912EB">
      <w:pPr>
        <w:rPr>
          <w:sz w:val="20"/>
          <w:szCs w:val="20"/>
        </w:rPr>
      </w:pPr>
      <w:r>
        <w:rPr>
          <w:rFonts w:eastAsia="Times New Roman"/>
        </w:rPr>
        <w:t>UCB Pharma GmbH</w:t>
      </w:r>
    </w:p>
    <w:p w14:paraId="57D30383" w14:textId="77777777" w:rsidR="001912EB" w:rsidRDefault="001912EB" w:rsidP="001912EB">
      <w:pPr>
        <w:spacing w:line="1" w:lineRule="exact"/>
        <w:rPr>
          <w:sz w:val="20"/>
          <w:szCs w:val="20"/>
        </w:rPr>
      </w:pPr>
    </w:p>
    <w:p w14:paraId="553A95BA" w14:textId="77777777" w:rsidR="001912EB" w:rsidRDefault="001912EB" w:rsidP="001912EB">
      <w:pPr>
        <w:rPr>
          <w:sz w:val="20"/>
          <w:szCs w:val="20"/>
        </w:rPr>
      </w:pPr>
      <w:r>
        <w:rPr>
          <w:rFonts w:eastAsia="Times New Roman"/>
          <w:sz w:val="21"/>
          <w:szCs w:val="21"/>
        </w:rPr>
        <w:t>Tel: + 49 /(0) 2173 48 4848</w:t>
      </w:r>
    </w:p>
    <w:p w14:paraId="438ED1F1" w14:textId="77777777" w:rsidR="001912EB" w:rsidRDefault="001912EB" w:rsidP="001912EB">
      <w:pPr>
        <w:spacing w:line="20" w:lineRule="exact"/>
        <w:rPr>
          <w:sz w:val="20"/>
          <w:szCs w:val="20"/>
        </w:rPr>
      </w:pPr>
      <w:r>
        <w:rPr>
          <w:sz w:val="20"/>
          <w:szCs w:val="20"/>
        </w:rPr>
        <w:br w:type="column"/>
      </w:r>
    </w:p>
    <w:p w14:paraId="5918EE6E" w14:textId="77777777" w:rsidR="001912EB" w:rsidRDefault="001912EB" w:rsidP="001912EB">
      <w:pPr>
        <w:spacing w:line="33" w:lineRule="exact"/>
        <w:rPr>
          <w:sz w:val="20"/>
          <w:szCs w:val="20"/>
        </w:rPr>
      </w:pPr>
    </w:p>
    <w:p w14:paraId="2C7FD0AC" w14:textId="77777777" w:rsidR="001912EB" w:rsidRDefault="001912EB" w:rsidP="001912EB">
      <w:pPr>
        <w:rPr>
          <w:sz w:val="20"/>
          <w:szCs w:val="20"/>
        </w:rPr>
      </w:pPr>
      <w:r>
        <w:rPr>
          <w:rFonts w:eastAsia="Times New Roman"/>
          <w:b/>
          <w:bCs/>
        </w:rPr>
        <w:t>Nederland</w:t>
      </w:r>
    </w:p>
    <w:p w14:paraId="3E7520BD" w14:textId="77777777" w:rsidR="001912EB" w:rsidRDefault="001912EB" w:rsidP="001912EB">
      <w:pPr>
        <w:rPr>
          <w:sz w:val="20"/>
          <w:szCs w:val="20"/>
        </w:rPr>
      </w:pPr>
      <w:r>
        <w:rPr>
          <w:rFonts w:eastAsia="Times New Roman"/>
        </w:rPr>
        <w:t>UCB Pharma B.V.</w:t>
      </w:r>
    </w:p>
    <w:p w14:paraId="2E75CCBA" w14:textId="77777777" w:rsidR="001912EB" w:rsidRDefault="001912EB" w:rsidP="001912EB">
      <w:pPr>
        <w:spacing w:line="1" w:lineRule="exact"/>
        <w:rPr>
          <w:sz w:val="20"/>
          <w:szCs w:val="20"/>
        </w:rPr>
      </w:pPr>
    </w:p>
    <w:p w14:paraId="783BBBC8" w14:textId="77777777" w:rsidR="001912EB" w:rsidRDefault="001912EB" w:rsidP="001912EB">
      <w:pPr>
        <w:rPr>
          <w:sz w:val="20"/>
          <w:szCs w:val="20"/>
        </w:rPr>
      </w:pPr>
      <w:r>
        <w:rPr>
          <w:rFonts w:eastAsia="Times New Roman"/>
          <w:sz w:val="21"/>
          <w:szCs w:val="21"/>
        </w:rPr>
        <w:t>Tel.: + 31 / (0)76-573 11 40</w:t>
      </w:r>
    </w:p>
    <w:p w14:paraId="269FDB0C" w14:textId="77777777" w:rsidR="001912EB" w:rsidRDefault="001912EB" w:rsidP="001912EB">
      <w:pPr>
        <w:spacing w:line="200" w:lineRule="exact"/>
        <w:rPr>
          <w:sz w:val="20"/>
          <w:szCs w:val="20"/>
        </w:rPr>
      </w:pPr>
    </w:p>
    <w:p w14:paraId="5DA32AB5"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57AA494E" w14:textId="77777777" w:rsidR="001912EB" w:rsidRDefault="001912EB" w:rsidP="001912EB">
      <w:pPr>
        <w:spacing w:line="64" w:lineRule="exact"/>
        <w:rPr>
          <w:sz w:val="20"/>
          <w:szCs w:val="20"/>
        </w:rPr>
      </w:pPr>
    </w:p>
    <w:p w14:paraId="3ACB1039" w14:textId="77777777" w:rsidR="001912EB" w:rsidRDefault="001912EB" w:rsidP="001912EB">
      <w:pPr>
        <w:rPr>
          <w:sz w:val="20"/>
          <w:szCs w:val="20"/>
        </w:rPr>
      </w:pPr>
      <w:r>
        <w:rPr>
          <w:rFonts w:eastAsia="Times New Roman"/>
          <w:b/>
          <w:bCs/>
        </w:rPr>
        <w:t>Eesti</w:t>
      </w:r>
    </w:p>
    <w:p w14:paraId="1B3A4136" w14:textId="77777777" w:rsidR="001912EB" w:rsidRDefault="001912EB" w:rsidP="001912EB">
      <w:pPr>
        <w:rPr>
          <w:sz w:val="20"/>
          <w:szCs w:val="20"/>
        </w:rPr>
      </w:pPr>
      <w:r>
        <w:rPr>
          <w:rFonts w:eastAsia="Times New Roman"/>
        </w:rPr>
        <w:t>UCB Pharma Oy Finland</w:t>
      </w:r>
    </w:p>
    <w:p w14:paraId="24E47AAD" w14:textId="77777777" w:rsidR="001912EB" w:rsidRDefault="001912EB" w:rsidP="001912EB">
      <w:pPr>
        <w:rPr>
          <w:sz w:val="20"/>
          <w:szCs w:val="20"/>
        </w:rPr>
      </w:pPr>
      <w:r>
        <w:rPr>
          <w:rFonts w:eastAsia="Times New Roman"/>
          <w:sz w:val="21"/>
          <w:szCs w:val="21"/>
        </w:rPr>
        <w:t>Tel: +358 9 2514 4221 (Soome)</w:t>
      </w:r>
    </w:p>
    <w:p w14:paraId="6C431251" w14:textId="77777777" w:rsidR="001912EB" w:rsidRDefault="001912EB" w:rsidP="001912EB">
      <w:pPr>
        <w:spacing w:line="20" w:lineRule="exact"/>
        <w:rPr>
          <w:sz w:val="20"/>
          <w:szCs w:val="20"/>
        </w:rPr>
      </w:pPr>
      <w:r>
        <w:rPr>
          <w:sz w:val="20"/>
          <w:szCs w:val="20"/>
        </w:rPr>
        <w:br w:type="column"/>
      </w:r>
    </w:p>
    <w:p w14:paraId="6422949A" w14:textId="77777777" w:rsidR="001912EB" w:rsidRDefault="001912EB" w:rsidP="001912EB">
      <w:pPr>
        <w:spacing w:line="44" w:lineRule="exact"/>
        <w:rPr>
          <w:sz w:val="20"/>
          <w:szCs w:val="20"/>
        </w:rPr>
      </w:pPr>
    </w:p>
    <w:p w14:paraId="1DABB66F" w14:textId="77777777" w:rsidR="001912EB" w:rsidRDefault="001912EB" w:rsidP="001912EB">
      <w:pPr>
        <w:rPr>
          <w:sz w:val="20"/>
          <w:szCs w:val="20"/>
        </w:rPr>
      </w:pPr>
      <w:r>
        <w:rPr>
          <w:rFonts w:eastAsia="Times New Roman"/>
          <w:b/>
          <w:bCs/>
        </w:rPr>
        <w:t>Norge</w:t>
      </w:r>
    </w:p>
    <w:p w14:paraId="5F8275AC" w14:textId="77777777" w:rsidR="001912EB" w:rsidRDefault="001912EB" w:rsidP="001912EB">
      <w:pPr>
        <w:rPr>
          <w:sz w:val="20"/>
          <w:szCs w:val="20"/>
        </w:rPr>
      </w:pPr>
      <w:r>
        <w:rPr>
          <w:rFonts w:eastAsia="Times New Roman"/>
        </w:rPr>
        <w:t>UCB Nordic A/S</w:t>
      </w:r>
    </w:p>
    <w:p w14:paraId="2AE92DEA" w14:textId="77777777" w:rsidR="001912EB" w:rsidRDefault="001912EB" w:rsidP="001912EB">
      <w:pPr>
        <w:rPr>
          <w:sz w:val="20"/>
          <w:szCs w:val="20"/>
        </w:rPr>
      </w:pPr>
      <w:r>
        <w:rPr>
          <w:rFonts w:eastAsia="Times New Roman"/>
        </w:rPr>
        <w:t>Tlf: +45 / 32 46 24 00</w:t>
      </w:r>
    </w:p>
    <w:p w14:paraId="4E932919" w14:textId="77777777" w:rsidR="001912EB" w:rsidRDefault="001912EB" w:rsidP="001912EB">
      <w:pPr>
        <w:spacing w:line="200" w:lineRule="exact"/>
        <w:rPr>
          <w:sz w:val="20"/>
          <w:szCs w:val="20"/>
        </w:rPr>
      </w:pPr>
    </w:p>
    <w:p w14:paraId="7E9C7BAB"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54415C49" w14:textId="77777777" w:rsidR="001912EB" w:rsidRDefault="001912EB" w:rsidP="001912EB">
      <w:pPr>
        <w:spacing w:line="55" w:lineRule="exact"/>
        <w:rPr>
          <w:sz w:val="20"/>
          <w:szCs w:val="20"/>
        </w:rPr>
      </w:pPr>
    </w:p>
    <w:p w14:paraId="6A7E3E73" w14:textId="77777777" w:rsidR="001912EB" w:rsidRDefault="001912EB" w:rsidP="001912EB">
      <w:pPr>
        <w:rPr>
          <w:sz w:val="20"/>
          <w:szCs w:val="20"/>
        </w:rPr>
      </w:pPr>
      <w:r>
        <w:rPr>
          <w:rFonts w:eastAsia="Times New Roman"/>
          <w:b/>
          <w:bCs/>
        </w:rPr>
        <w:t>Ελλάδα</w:t>
      </w:r>
    </w:p>
    <w:p w14:paraId="082EAB21" w14:textId="77777777" w:rsidR="001912EB" w:rsidRDefault="001912EB" w:rsidP="001912EB">
      <w:pPr>
        <w:rPr>
          <w:sz w:val="20"/>
          <w:szCs w:val="20"/>
        </w:rPr>
      </w:pPr>
      <w:r>
        <w:rPr>
          <w:rFonts w:eastAsia="Times New Roman"/>
        </w:rPr>
        <w:t>UCB Α.Ε.</w:t>
      </w:r>
    </w:p>
    <w:p w14:paraId="0167D34E" w14:textId="77777777" w:rsidR="001912EB" w:rsidRDefault="001912EB" w:rsidP="001912EB">
      <w:pPr>
        <w:rPr>
          <w:sz w:val="20"/>
          <w:szCs w:val="20"/>
        </w:rPr>
      </w:pPr>
      <w:r>
        <w:rPr>
          <w:rFonts w:eastAsia="Times New Roman"/>
          <w:sz w:val="21"/>
          <w:szCs w:val="21"/>
        </w:rPr>
        <w:t>Τηλ: + 30 / 2109974000</w:t>
      </w:r>
    </w:p>
    <w:p w14:paraId="0722014D" w14:textId="77777777" w:rsidR="001912EB" w:rsidRDefault="001912EB" w:rsidP="001912EB">
      <w:pPr>
        <w:spacing w:line="20" w:lineRule="exact"/>
        <w:rPr>
          <w:sz w:val="20"/>
          <w:szCs w:val="20"/>
        </w:rPr>
      </w:pPr>
      <w:r>
        <w:rPr>
          <w:sz w:val="20"/>
          <w:szCs w:val="20"/>
        </w:rPr>
        <w:br w:type="column"/>
      </w:r>
    </w:p>
    <w:p w14:paraId="3E988FA9" w14:textId="77777777" w:rsidR="001912EB" w:rsidRDefault="001912EB" w:rsidP="001912EB">
      <w:pPr>
        <w:spacing w:line="35" w:lineRule="exact"/>
        <w:rPr>
          <w:sz w:val="20"/>
          <w:szCs w:val="20"/>
        </w:rPr>
      </w:pPr>
    </w:p>
    <w:p w14:paraId="7DCC1D92" w14:textId="77777777" w:rsidR="001912EB" w:rsidRDefault="001912EB" w:rsidP="001912EB">
      <w:pPr>
        <w:rPr>
          <w:sz w:val="20"/>
          <w:szCs w:val="20"/>
        </w:rPr>
      </w:pPr>
      <w:r>
        <w:rPr>
          <w:rFonts w:eastAsia="Times New Roman"/>
          <w:b/>
          <w:bCs/>
        </w:rPr>
        <w:t>Österreich</w:t>
      </w:r>
    </w:p>
    <w:p w14:paraId="1A976406" w14:textId="77777777" w:rsidR="001912EB" w:rsidRDefault="001912EB" w:rsidP="001912EB">
      <w:pPr>
        <w:rPr>
          <w:sz w:val="20"/>
          <w:szCs w:val="20"/>
        </w:rPr>
      </w:pPr>
      <w:r>
        <w:rPr>
          <w:rFonts w:eastAsia="Times New Roman"/>
        </w:rPr>
        <w:t>UCB Pharma GmbH</w:t>
      </w:r>
    </w:p>
    <w:p w14:paraId="3CE508EE" w14:textId="77777777" w:rsidR="001912EB" w:rsidRDefault="001912EB" w:rsidP="001912EB">
      <w:pPr>
        <w:rPr>
          <w:sz w:val="20"/>
          <w:szCs w:val="20"/>
        </w:rPr>
      </w:pPr>
      <w:r>
        <w:rPr>
          <w:rFonts w:eastAsia="Times New Roman"/>
          <w:sz w:val="21"/>
          <w:szCs w:val="21"/>
        </w:rPr>
        <w:t>Tel: + 43 (0)1 291 80 00</w:t>
      </w:r>
    </w:p>
    <w:p w14:paraId="399468A1" w14:textId="77777777" w:rsidR="001912EB" w:rsidRDefault="001912EB" w:rsidP="001912EB">
      <w:pPr>
        <w:spacing w:line="200" w:lineRule="exact"/>
        <w:rPr>
          <w:sz w:val="20"/>
          <w:szCs w:val="20"/>
        </w:rPr>
      </w:pPr>
    </w:p>
    <w:p w14:paraId="0D7EBDFC"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524B29B0" w14:textId="77777777" w:rsidR="001912EB" w:rsidRDefault="001912EB" w:rsidP="001912EB">
      <w:pPr>
        <w:spacing w:line="64" w:lineRule="exact"/>
        <w:rPr>
          <w:sz w:val="20"/>
          <w:szCs w:val="20"/>
        </w:rPr>
      </w:pPr>
    </w:p>
    <w:p w14:paraId="288B272C" w14:textId="77777777" w:rsidR="001912EB" w:rsidRDefault="001912EB" w:rsidP="001912EB">
      <w:pPr>
        <w:rPr>
          <w:sz w:val="20"/>
          <w:szCs w:val="20"/>
        </w:rPr>
      </w:pPr>
      <w:r>
        <w:rPr>
          <w:rFonts w:eastAsia="Times New Roman"/>
          <w:b/>
          <w:bCs/>
        </w:rPr>
        <w:t>España</w:t>
      </w:r>
    </w:p>
    <w:p w14:paraId="7D6A7B7A" w14:textId="77777777" w:rsidR="001912EB" w:rsidRDefault="001912EB" w:rsidP="001912EB">
      <w:pPr>
        <w:rPr>
          <w:sz w:val="20"/>
          <w:szCs w:val="20"/>
        </w:rPr>
      </w:pPr>
      <w:r>
        <w:rPr>
          <w:rFonts w:eastAsia="Times New Roman"/>
        </w:rPr>
        <w:t>UCB Pharma, S.A.</w:t>
      </w:r>
    </w:p>
    <w:p w14:paraId="790FF5DF" w14:textId="77777777" w:rsidR="001912EB" w:rsidRDefault="001912EB" w:rsidP="001912EB">
      <w:pPr>
        <w:spacing w:line="1" w:lineRule="exact"/>
        <w:rPr>
          <w:sz w:val="20"/>
          <w:szCs w:val="20"/>
        </w:rPr>
      </w:pPr>
    </w:p>
    <w:p w14:paraId="74586445" w14:textId="77777777" w:rsidR="001912EB" w:rsidRDefault="001912EB" w:rsidP="001912EB">
      <w:pPr>
        <w:rPr>
          <w:sz w:val="20"/>
          <w:szCs w:val="20"/>
        </w:rPr>
      </w:pPr>
      <w:r>
        <w:rPr>
          <w:rFonts w:eastAsia="Times New Roman"/>
        </w:rPr>
        <w:t>Tel: + 34 / 91 570 34 44</w:t>
      </w:r>
    </w:p>
    <w:p w14:paraId="7E0B996F" w14:textId="77777777" w:rsidR="001912EB" w:rsidRDefault="001912EB" w:rsidP="001912EB">
      <w:pPr>
        <w:spacing w:line="20" w:lineRule="exact"/>
        <w:rPr>
          <w:sz w:val="20"/>
          <w:szCs w:val="20"/>
        </w:rPr>
      </w:pPr>
      <w:r>
        <w:rPr>
          <w:sz w:val="20"/>
          <w:szCs w:val="20"/>
        </w:rPr>
        <w:br w:type="column"/>
      </w:r>
    </w:p>
    <w:p w14:paraId="1E0A2698" w14:textId="77777777" w:rsidR="001912EB" w:rsidRDefault="001912EB" w:rsidP="001912EB">
      <w:pPr>
        <w:spacing w:line="44" w:lineRule="exact"/>
        <w:rPr>
          <w:sz w:val="20"/>
          <w:szCs w:val="20"/>
        </w:rPr>
      </w:pPr>
    </w:p>
    <w:p w14:paraId="06776505" w14:textId="77777777" w:rsidR="001912EB" w:rsidRDefault="001912EB" w:rsidP="001912EB">
      <w:pPr>
        <w:rPr>
          <w:sz w:val="20"/>
          <w:szCs w:val="20"/>
        </w:rPr>
      </w:pPr>
      <w:r>
        <w:rPr>
          <w:rFonts w:eastAsia="Times New Roman"/>
          <w:b/>
          <w:bCs/>
        </w:rPr>
        <w:t>Polska</w:t>
      </w:r>
    </w:p>
    <w:p w14:paraId="2D6B3574" w14:textId="77777777" w:rsidR="001912EB" w:rsidRDefault="001912EB" w:rsidP="001912EB">
      <w:pPr>
        <w:rPr>
          <w:sz w:val="20"/>
          <w:szCs w:val="20"/>
        </w:rPr>
      </w:pPr>
      <w:r>
        <w:rPr>
          <w:rFonts w:eastAsia="Times New Roman"/>
        </w:rPr>
        <w:t>UCB Pharma Sp. z o.o.</w:t>
      </w:r>
    </w:p>
    <w:p w14:paraId="04EE654E" w14:textId="77777777" w:rsidR="001912EB" w:rsidRDefault="001912EB" w:rsidP="001912EB">
      <w:pPr>
        <w:spacing w:line="1" w:lineRule="exact"/>
        <w:rPr>
          <w:sz w:val="20"/>
          <w:szCs w:val="20"/>
        </w:rPr>
      </w:pPr>
    </w:p>
    <w:p w14:paraId="48B123B9" w14:textId="77777777" w:rsidR="001912EB" w:rsidRDefault="001912EB" w:rsidP="001912EB">
      <w:pPr>
        <w:rPr>
          <w:sz w:val="20"/>
          <w:szCs w:val="20"/>
        </w:rPr>
      </w:pPr>
      <w:r>
        <w:rPr>
          <w:rFonts w:eastAsia="Times New Roman"/>
        </w:rPr>
        <w:t>Tel.: + 48 22 696 99 20</w:t>
      </w:r>
    </w:p>
    <w:p w14:paraId="4EB4477F" w14:textId="77777777" w:rsidR="001912EB" w:rsidRDefault="001912EB" w:rsidP="001912EB">
      <w:pPr>
        <w:spacing w:line="200" w:lineRule="exact"/>
        <w:rPr>
          <w:sz w:val="20"/>
          <w:szCs w:val="20"/>
        </w:rPr>
      </w:pPr>
    </w:p>
    <w:p w14:paraId="7527C46D"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11A77C04" w14:textId="77777777" w:rsidR="001912EB" w:rsidRDefault="001912EB" w:rsidP="001912EB">
      <w:pPr>
        <w:spacing w:line="52" w:lineRule="exact"/>
        <w:rPr>
          <w:sz w:val="20"/>
          <w:szCs w:val="20"/>
        </w:rPr>
      </w:pPr>
    </w:p>
    <w:p w14:paraId="614D6704" w14:textId="77777777" w:rsidR="001912EB" w:rsidRDefault="001912EB" w:rsidP="001912EB">
      <w:pPr>
        <w:rPr>
          <w:sz w:val="20"/>
          <w:szCs w:val="20"/>
        </w:rPr>
      </w:pPr>
      <w:r>
        <w:rPr>
          <w:rFonts w:eastAsia="Times New Roman"/>
          <w:b/>
          <w:bCs/>
        </w:rPr>
        <w:t>France</w:t>
      </w:r>
    </w:p>
    <w:p w14:paraId="7175DBD1" w14:textId="77777777" w:rsidR="001912EB" w:rsidRDefault="001912EB" w:rsidP="001912EB">
      <w:pPr>
        <w:rPr>
          <w:sz w:val="20"/>
          <w:szCs w:val="20"/>
        </w:rPr>
      </w:pPr>
      <w:r>
        <w:rPr>
          <w:rFonts w:eastAsia="Times New Roman"/>
        </w:rPr>
        <w:t>UCB Pharma S.A.</w:t>
      </w:r>
    </w:p>
    <w:p w14:paraId="517ED92F" w14:textId="77777777" w:rsidR="001912EB" w:rsidRDefault="001912EB" w:rsidP="001912EB">
      <w:pPr>
        <w:rPr>
          <w:sz w:val="20"/>
          <w:szCs w:val="20"/>
        </w:rPr>
      </w:pPr>
      <w:r>
        <w:rPr>
          <w:rFonts w:eastAsia="Times New Roman"/>
          <w:sz w:val="21"/>
          <w:szCs w:val="21"/>
        </w:rPr>
        <w:t>Tél: + 33 / (0)1 47 29 44 35</w:t>
      </w:r>
    </w:p>
    <w:p w14:paraId="0A5ECE72" w14:textId="77777777" w:rsidR="001912EB" w:rsidRDefault="001912EB" w:rsidP="001912EB">
      <w:pPr>
        <w:spacing w:line="20" w:lineRule="exact"/>
        <w:rPr>
          <w:sz w:val="20"/>
          <w:szCs w:val="20"/>
        </w:rPr>
      </w:pPr>
      <w:r>
        <w:rPr>
          <w:sz w:val="20"/>
          <w:szCs w:val="20"/>
        </w:rPr>
        <w:br w:type="column"/>
      </w:r>
    </w:p>
    <w:p w14:paraId="7222B43E" w14:textId="77777777" w:rsidR="001912EB" w:rsidRDefault="001912EB" w:rsidP="001912EB">
      <w:pPr>
        <w:spacing w:line="32" w:lineRule="exact"/>
        <w:rPr>
          <w:sz w:val="20"/>
          <w:szCs w:val="20"/>
        </w:rPr>
      </w:pPr>
    </w:p>
    <w:p w14:paraId="38699DA5" w14:textId="77777777" w:rsidR="001912EB" w:rsidRDefault="001912EB" w:rsidP="001912EB">
      <w:pPr>
        <w:rPr>
          <w:sz w:val="20"/>
          <w:szCs w:val="20"/>
        </w:rPr>
      </w:pPr>
      <w:r>
        <w:rPr>
          <w:rFonts w:eastAsia="Times New Roman"/>
          <w:b/>
          <w:bCs/>
        </w:rPr>
        <w:t>Portugal</w:t>
      </w:r>
    </w:p>
    <w:p w14:paraId="46D184CE" w14:textId="77777777" w:rsidR="001912EB" w:rsidRDefault="001912EB" w:rsidP="001912EB">
      <w:pPr>
        <w:rPr>
          <w:sz w:val="20"/>
          <w:szCs w:val="20"/>
        </w:rPr>
      </w:pPr>
      <w:r>
        <w:rPr>
          <w:rFonts w:eastAsia="Times New Roman"/>
        </w:rPr>
        <w:t>UCB Pharma (Produtos Farmacêuticos), Lda</w:t>
      </w:r>
    </w:p>
    <w:p w14:paraId="6EE09FB6" w14:textId="77777777" w:rsidR="001912EB" w:rsidRDefault="001912EB" w:rsidP="001912EB">
      <w:pPr>
        <w:rPr>
          <w:sz w:val="20"/>
          <w:szCs w:val="20"/>
        </w:rPr>
      </w:pPr>
      <w:r>
        <w:rPr>
          <w:rFonts w:eastAsia="Times New Roman"/>
        </w:rPr>
        <w:t>Tel: + 351 / 21 302 5300</w:t>
      </w:r>
    </w:p>
    <w:p w14:paraId="3A5BF0E5" w14:textId="77777777" w:rsidR="001912EB" w:rsidRDefault="001912EB" w:rsidP="001912EB">
      <w:pPr>
        <w:spacing w:line="200" w:lineRule="exact"/>
        <w:rPr>
          <w:sz w:val="20"/>
          <w:szCs w:val="20"/>
        </w:rPr>
      </w:pPr>
    </w:p>
    <w:p w14:paraId="74354AB1"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3B7F6FC6" w14:textId="77777777" w:rsidR="001912EB" w:rsidRDefault="001912EB" w:rsidP="001912EB">
      <w:pPr>
        <w:spacing w:line="55" w:lineRule="exact"/>
        <w:rPr>
          <w:sz w:val="20"/>
          <w:szCs w:val="20"/>
        </w:rPr>
      </w:pPr>
    </w:p>
    <w:p w14:paraId="22EFC1FE" w14:textId="77777777" w:rsidR="001912EB" w:rsidRDefault="001912EB" w:rsidP="001912EB">
      <w:pPr>
        <w:rPr>
          <w:sz w:val="20"/>
          <w:szCs w:val="20"/>
        </w:rPr>
      </w:pPr>
      <w:r>
        <w:rPr>
          <w:rFonts w:eastAsia="Times New Roman"/>
          <w:b/>
          <w:bCs/>
        </w:rPr>
        <w:t>Hrvatska</w:t>
      </w:r>
    </w:p>
    <w:p w14:paraId="62F1F68D" w14:textId="77777777" w:rsidR="001912EB" w:rsidRDefault="001912EB" w:rsidP="001912EB">
      <w:pPr>
        <w:rPr>
          <w:sz w:val="20"/>
          <w:szCs w:val="20"/>
        </w:rPr>
      </w:pPr>
      <w:r>
        <w:rPr>
          <w:rFonts w:eastAsia="Times New Roman"/>
        </w:rPr>
        <w:t>Medis Adria d.o.o.</w:t>
      </w:r>
    </w:p>
    <w:p w14:paraId="778C71C9" w14:textId="77777777" w:rsidR="001912EB" w:rsidRDefault="001912EB" w:rsidP="001912EB">
      <w:pPr>
        <w:rPr>
          <w:sz w:val="20"/>
          <w:szCs w:val="20"/>
        </w:rPr>
      </w:pPr>
      <w:r>
        <w:rPr>
          <w:rFonts w:eastAsia="Times New Roman"/>
        </w:rPr>
        <w:t>Tel: +385 (0) 1 230 34 46</w:t>
      </w:r>
    </w:p>
    <w:p w14:paraId="61F621CE" w14:textId="77777777" w:rsidR="001912EB" w:rsidRDefault="001912EB" w:rsidP="001912EB">
      <w:pPr>
        <w:spacing w:line="20" w:lineRule="exact"/>
        <w:rPr>
          <w:sz w:val="20"/>
          <w:szCs w:val="20"/>
        </w:rPr>
      </w:pPr>
      <w:r>
        <w:rPr>
          <w:sz w:val="20"/>
          <w:szCs w:val="20"/>
        </w:rPr>
        <w:br w:type="column"/>
      </w:r>
    </w:p>
    <w:p w14:paraId="3A7BCA5B" w14:textId="77777777" w:rsidR="001912EB" w:rsidRDefault="001912EB" w:rsidP="001912EB">
      <w:pPr>
        <w:spacing w:line="35" w:lineRule="exact"/>
        <w:rPr>
          <w:sz w:val="20"/>
          <w:szCs w:val="20"/>
        </w:rPr>
      </w:pPr>
    </w:p>
    <w:p w14:paraId="3A0EDBD4" w14:textId="77777777" w:rsidR="001912EB" w:rsidRDefault="001912EB" w:rsidP="001912EB">
      <w:pPr>
        <w:rPr>
          <w:sz w:val="20"/>
          <w:szCs w:val="20"/>
        </w:rPr>
      </w:pPr>
      <w:r>
        <w:rPr>
          <w:rFonts w:eastAsia="Times New Roman"/>
          <w:b/>
          <w:bCs/>
        </w:rPr>
        <w:t>România</w:t>
      </w:r>
    </w:p>
    <w:p w14:paraId="67141487" w14:textId="77777777" w:rsidR="001912EB" w:rsidRDefault="001912EB" w:rsidP="001912EB">
      <w:pPr>
        <w:rPr>
          <w:sz w:val="20"/>
          <w:szCs w:val="20"/>
        </w:rPr>
      </w:pPr>
      <w:r>
        <w:rPr>
          <w:rFonts w:eastAsia="Times New Roman"/>
        </w:rPr>
        <w:t>UCBPharma România S.R.L.</w:t>
      </w:r>
    </w:p>
    <w:p w14:paraId="086467F2" w14:textId="77777777" w:rsidR="001912EB" w:rsidRDefault="001912EB" w:rsidP="001912EB">
      <w:pPr>
        <w:rPr>
          <w:sz w:val="20"/>
          <w:szCs w:val="20"/>
        </w:rPr>
      </w:pPr>
      <w:r>
        <w:rPr>
          <w:rFonts w:eastAsia="Times New Roman"/>
        </w:rPr>
        <w:t>Tel: + 40 21 300 29 04</w:t>
      </w:r>
    </w:p>
    <w:p w14:paraId="0EF46DC8" w14:textId="77777777" w:rsidR="001912EB" w:rsidRDefault="001912EB" w:rsidP="001912EB">
      <w:pPr>
        <w:spacing w:line="200" w:lineRule="exact"/>
        <w:rPr>
          <w:sz w:val="20"/>
          <w:szCs w:val="20"/>
        </w:rPr>
      </w:pPr>
    </w:p>
    <w:p w14:paraId="52245457"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56C480C5" w14:textId="77777777" w:rsidR="001912EB" w:rsidRDefault="001912EB" w:rsidP="001912EB">
      <w:pPr>
        <w:spacing w:line="53" w:lineRule="exact"/>
        <w:rPr>
          <w:sz w:val="20"/>
          <w:szCs w:val="20"/>
        </w:rPr>
      </w:pPr>
    </w:p>
    <w:p w14:paraId="4B8CE660" w14:textId="77777777" w:rsidR="001912EB" w:rsidRDefault="001912EB" w:rsidP="001912EB">
      <w:pPr>
        <w:rPr>
          <w:sz w:val="20"/>
          <w:szCs w:val="20"/>
        </w:rPr>
      </w:pPr>
      <w:r>
        <w:rPr>
          <w:rFonts w:eastAsia="Times New Roman"/>
          <w:b/>
          <w:bCs/>
        </w:rPr>
        <w:t>Ireland</w:t>
      </w:r>
    </w:p>
    <w:p w14:paraId="776EBE6C" w14:textId="77777777" w:rsidR="001912EB" w:rsidRDefault="001912EB" w:rsidP="001912EB">
      <w:pPr>
        <w:rPr>
          <w:sz w:val="20"/>
          <w:szCs w:val="20"/>
        </w:rPr>
      </w:pPr>
      <w:r>
        <w:rPr>
          <w:rFonts w:eastAsia="Times New Roman"/>
          <w:sz w:val="21"/>
          <w:szCs w:val="21"/>
        </w:rPr>
        <w:t>UCB (Pharma) Ireland Ltd.</w:t>
      </w:r>
    </w:p>
    <w:p w14:paraId="6E8C355C" w14:textId="77777777" w:rsidR="001912EB" w:rsidRDefault="001912EB" w:rsidP="001912EB">
      <w:pPr>
        <w:spacing w:line="13" w:lineRule="exact"/>
        <w:rPr>
          <w:sz w:val="20"/>
          <w:szCs w:val="20"/>
        </w:rPr>
      </w:pPr>
    </w:p>
    <w:p w14:paraId="13E7FBA4" w14:textId="77777777" w:rsidR="001912EB" w:rsidRDefault="001912EB" w:rsidP="001912EB">
      <w:pPr>
        <w:rPr>
          <w:sz w:val="20"/>
          <w:szCs w:val="20"/>
        </w:rPr>
      </w:pPr>
      <w:r>
        <w:rPr>
          <w:rFonts w:eastAsia="Times New Roman"/>
        </w:rPr>
        <w:t>Tel: + 353 / (0)1-46 37 395</w:t>
      </w:r>
    </w:p>
    <w:p w14:paraId="45AD87BD" w14:textId="77777777" w:rsidR="001912EB" w:rsidRDefault="001912EB" w:rsidP="001912EB">
      <w:pPr>
        <w:spacing w:line="20" w:lineRule="exact"/>
        <w:rPr>
          <w:sz w:val="20"/>
          <w:szCs w:val="20"/>
        </w:rPr>
      </w:pPr>
      <w:r>
        <w:rPr>
          <w:sz w:val="20"/>
          <w:szCs w:val="20"/>
        </w:rPr>
        <w:br w:type="column"/>
      </w:r>
    </w:p>
    <w:p w14:paraId="2D3D2A3D" w14:textId="77777777" w:rsidR="001912EB" w:rsidRDefault="001912EB" w:rsidP="001912EB">
      <w:pPr>
        <w:spacing w:line="33" w:lineRule="exact"/>
        <w:rPr>
          <w:sz w:val="20"/>
          <w:szCs w:val="20"/>
        </w:rPr>
      </w:pPr>
    </w:p>
    <w:p w14:paraId="1E8A3211" w14:textId="77777777" w:rsidR="001912EB" w:rsidRDefault="001912EB" w:rsidP="001912EB">
      <w:pPr>
        <w:rPr>
          <w:sz w:val="20"/>
          <w:szCs w:val="20"/>
        </w:rPr>
      </w:pPr>
      <w:r>
        <w:rPr>
          <w:rFonts w:eastAsia="Times New Roman"/>
          <w:b/>
          <w:bCs/>
        </w:rPr>
        <w:t>Slovenija</w:t>
      </w:r>
    </w:p>
    <w:p w14:paraId="36AF69BA" w14:textId="77777777" w:rsidR="001912EB" w:rsidRDefault="001912EB" w:rsidP="001912EB">
      <w:pPr>
        <w:rPr>
          <w:sz w:val="20"/>
          <w:szCs w:val="20"/>
        </w:rPr>
      </w:pPr>
      <w:r>
        <w:rPr>
          <w:rFonts w:eastAsia="Times New Roman"/>
        </w:rPr>
        <w:t>Medis, d.o.o.</w:t>
      </w:r>
    </w:p>
    <w:p w14:paraId="0277DD37" w14:textId="77777777" w:rsidR="001912EB" w:rsidRDefault="001912EB" w:rsidP="001912EB">
      <w:pPr>
        <w:spacing w:line="1" w:lineRule="exact"/>
        <w:rPr>
          <w:sz w:val="20"/>
          <w:szCs w:val="20"/>
        </w:rPr>
      </w:pPr>
    </w:p>
    <w:p w14:paraId="4B6E35E3" w14:textId="77777777" w:rsidR="001912EB" w:rsidRDefault="001912EB" w:rsidP="001912EB">
      <w:pPr>
        <w:rPr>
          <w:sz w:val="20"/>
          <w:szCs w:val="20"/>
        </w:rPr>
      </w:pPr>
      <w:r>
        <w:rPr>
          <w:rFonts w:eastAsia="Times New Roman"/>
        </w:rPr>
        <w:t>Tel: + 386 1 589 69 00</w:t>
      </w:r>
    </w:p>
    <w:p w14:paraId="5E161411" w14:textId="77777777" w:rsidR="001912EB" w:rsidRDefault="001912EB" w:rsidP="001912EB">
      <w:pPr>
        <w:spacing w:line="200" w:lineRule="exact"/>
        <w:rPr>
          <w:sz w:val="20"/>
          <w:szCs w:val="20"/>
        </w:rPr>
      </w:pPr>
    </w:p>
    <w:p w14:paraId="100CAF6A"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51B223D0" w14:textId="77777777" w:rsidR="001912EB" w:rsidRDefault="001912EB" w:rsidP="001912EB">
      <w:pPr>
        <w:spacing w:line="52" w:lineRule="exact"/>
        <w:rPr>
          <w:sz w:val="20"/>
          <w:szCs w:val="20"/>
        </w:rPr>
      </w:pPr>
    </w:p>
    <w:p w14:paraId="3A14C625" w14:textId="77777777" w:rsidR="001912EB" w:rsidRDefault="001912EB" w:rsidP="001912EB">
      <w:pPr>
        <w:rPr>
          <w:sz w:val="20"/>
          <w:szCs w:val="20"/>
        </w:rPr>
      </w:pPr>
      <w:r>
        <w:rPr>
          <w:rFonts w:eastAsia="Times New Roman"/>
          <w:b/>
          <w:bCs/>
        </w:rPr>
        <w:t>Ísland</w:t>
      </w:r>
    </w:p>
    <w:p w14:paraId="4A023C47" w14:textId="77777777" w:rsidR="001912EB" w:rsidRDefault="001912EB" w:rsidP="001912EB">
      <w:pPr>
        <w:rPr>
          <w:sz w:val="20"/>
          <w:szCs w:val="20"/>
        </w:rPr>
      </w:pPr>
      <w:r>
        <w:rPr>
          <w:rFonts w:eastAsia="Times New Roman"/>
        </w:rPr>
        <w:t>Vistor hf.</w:t>
      </w:r>
    </w:p>
    <w:p w14:paraId="52CF4A88" w14:textId="77777777" w:rsidR="001912EB" w:rsidRDefault="001912EB" w:rsidP="001912EB">
      <w:pPr>
        <w:rPr>
          <w:sz w:val="20"/>
          <w:szCs w:val="20"/>
        </w:rPr>
      </w:pPr>
      <w:r>
        <w:rPr>
          <w:rFonts w:eastAsia="Times New Roman"/>
        </w:rPr>
        <w:t>Tel: + 354 535 7000</w:t>
      </w:r>
    </w:p>
    <w:p w14:paraId="756B1BF8" w14:textId="77777777" w:rsidR="001912EB" w:rsidRDefault="001912EB" w:rsidP="001912EB">
      <w:pPr>
        <w:spacing w:line="20" w:lineRule="exact"/>
        <w:rPr>
          <w:sz w:val="20"/>
          <w:szCs w:val="20"/>
        </w:rPr>
      </w:pPr>
      <w:r>
        <w:rPr>
          <w:sz w:val="20"/>
          <w:szCs w:val="20"/>
        </w:rPr>
        <w:br w:type="column"/>
      </w:r>
    </w:p>
    <w:p w14:paraId="291CEDC2" w14:textId="77777777" w:rsidR="001912EB" w:rsidRDefault="001912EB" w:rsidP="001912EB">
      <w:pPr>
        <w:spacing w:line="32" w:lineRule="exact"/>
        <w:rPr>
          <w:sz w:val="20"/>
          <w:szCs w:val="20"/>
        </w:rPr>
      </w:pPr>
    </w:p>
    <w:p w14:paraId="55D9FE45" w14:textId="77777777" w:rsidR="001912EB" w:rsidRDefault="001912EB" w:rsidP="001912EB">
      <w:pPr>
        <w:rPr>
          <w:sz w:val="20"/>
          <w:szCs w:val="20"/>
        </w:rPr>
      </w:pPr>
      <w:r>
        <w:rPr>
          <w:rFonts w:eastAsia="Times New Roman"/>
          <w:b/>
          <w:bCs/>
        </w:rPr>
        <w:t>Slovenská republika</w:t>
      </w:r>
    </w:p>
    <w:p w14:paraId="26FC9242" w14:textId="77777777" w:rsidR="001912EB" w:rsidRDefault="001912EB" w:rsidP="001912EB">
      <w:pPr>
        <w:rPr>
          <w:sz w:val="20"/>
          <w:szCs w:val="20"/>
        </w:rPr>
      </w:pPr>
      <w:r>
        <w:rPr>
          <w:rFonts w:eastAsia="Times New Roman"/>
        </w:rPr>
        <w:t>UCB s.r.o.</w:t>
      </w:r>
    </w:p>
    <w:p w14:paraId="4283A4C0" w14:textId="77777777" w:rsidR="001912EB" w:rsidRDefault="001912EB" w:rsidP="001912EB">
      <w:pPr>
        <w:rPr>
          <w:sz w:val="20"/>
          <w:szCs w:val="20"/>
        </w:rPr>
      </w:pPr>
      <w:r>
        <w:rPr>
          <w:rFonts w:eastAsia="Times New Roman"/>
        </w:rPr>
        <w:t>Tel: + 421 (0) 2 5920 2020</w:t>
      </w:r>
    </w:p>
    <w:p w14:paraId="4F542B1F" w14:textId="77777777" w:rsidR="001912EB" w:rsidRDefault="001912EB" w:rsidP="001912EB">
      <w:pPr>
        <w:spacing w:line="200" w:lineRule="exact"/>
        <w:rPr>
          <w:sz w:val="20"/>
          <w:szCs w:val="20"/>
        </w:rPr>
      </w:pPr>
    </w:p>
    <w:p w14:paraId="6B072824"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0C9BCBCA" w14:textId="77777777" w:rsidR="001912EB" w:rsidRDefault="001912EB" w:rsidP="001912EB">
      <w:pPr>
        <w:spacing w:line="52" w:lineRule="exact"/>
        <w:rPr>
          <w:sz w:val="20"/>
          <w:szCs w:val="20"/>
        </w:rPr>
      </w:pPr>
    </w:p>
    <w:p w14:paraId="4FE5CEA3" w14:textId="77777777" w:rsidR="001912EB" w:rsidRDefault="001912EB" w:rsidP="001912EB">
      <w:pPr>
        <w:rPr>
          <w:sz w:val="20"/>
          <w:szCs w:val="20"/>
        </w:rPr>
      </w:pPr>
      <w:r>
        <w:rPr>
          <w:rFonts w:eastAsia="Times New Roman"/>
          <w:b/>
          <w:bCs/>
        </w:rPr>
        <w:t>Italia</w:t>
      </w:r>
    </w:p>
    <w:p w14:paraId="3E351D47" w14:textId="77777777" w:rsidR="001912EB" w:rsidRDefault="001912EB" w:rsidP="001912EB">
      <w:pPr>
        <w:rPr>
          <w:sz w:val="20"/>
          <w:szCs w:val="20"/>
        </w:rPr>
      </w:pPr>
      <w:r>
        <w:rPr>
          <w:rFonts w:eastAsia="Times New Roman"/>
        </w:rPr>
        <w:t>UCB Pharma S.p.A.</w:t>
      </w:r>
    </w:p>
    <w:p w14:paraId="16B1135F" w14:textId="77777777" w:rsidR="001912EB" w:rsidRDefault="001912EB" w:rsidP="001912EB">
      <w:pPr>
        <w:spacing w:line="1" w:lineRule="exact"/>
        <w:rPr>
          <w:sz w:val="20"/>
          <w:szCs w:val="20"/>
        </w:rPr>
      </w:pPr>
    </w:p>
    <w:p w14:paraId="2240F08A" w14:textId="77777777" w:rsidR="001912EB" w:rsidRDefault="001912EB" w:rsidP="001912EB">
      <w:pPr>
        <w:rPr>
          <w:sz w:val="20"/>
          <w:szCs w:val="20"/>
        </w:rPr>
      </w:pPr>
      <w:r>
        <w:rPr>
          <w:rFonts w:eastAsia="Times New Roman"/>
        </w:rPr>
        <w:t>Tel: + 39 / 02 300 791</w:t>
      </w:r>
    </w:p>
    <w:p w14:paraId="3058AD7C" w14:textId="77777777" w:rsidR="001912EB" w:rsidRDefault="001912EB" w:rsidP="001912EB">
      <w:pPr>
        <w:spacing w:line="20" w:lineRule="exact"/>
        <w:rPr>
          <w:sz w:val="20"/>
          <w:szCs w:val="20"/>
        </w:rPr>
      </w:pPr>
      <w:r>
        <w:rPr>
          <w:sz w:val="20"/>
          <w:szCs w:val="20"/>
        </w:rPr>
        <w:br w:type="column"/>
      </w:r>
    </w:p>
    <w:p w14:paraId="55042F3C" w14:textId="77777777" w:rsidR="001912EB" w:rsidRDefault="001912EB" w:rsidP="001912EB">
      <w:pPr>
        <w:spacing w:line="32" w:lineRule="exact"/>
        <w:rPr>
          <w:sz w:val="20"/>
          <w:szCs w:val="20"/>
        </w:rPr>
      </w:pPr>
    </w:p>
    <w:p w14:paraId="1C94EBB0" w14:textId="77777777" w:rsidR="001912EB" w:rsidRDefault="001912EB" w:rsidP="001912EB">
      <w:pPr>
        <w:rPr>
          <w:sz w:val="20"/>
          <w:szCs w:val="20"/>
        </w:rPr>
      </w:pPr>
      <w:r>
        <w:rPr>
          <w:rFonts w:eastAsia="Times New Roman"/>
          <w:b/>
          <w:bCs/>
        </w:rPr>
        <w:t>Suomi/Finland</w:t>
      </w:r>
    </w:p>
    <w:p w14:paraId="18227F14" w14:textId="77777777" w:rsidR="001912EB" w:rsidRDefault="001912EB" w:rsidP="001912EB">
      <w:pPr>
        <w:rPr>
          <w:sz w:val="20"/>
          <w:szCs w:val="20"/>
        </w:rPr>
      </w:pPr>
      <w:r>
        <w:rPr>
          <w:rFonts w:eastAsia="Times New Roman"/>
        </w:rPr>
        <w:t>UCB Pharma Oy Finland</w:t>
      </w:r>
    </w:p>
    <w:p w14:paraId="7E71E852" w14:textId="77777777" w:rsidR="001912EB" w:rsidRDefault="001912EB" w:rsidP="001912EB">
      <w:pPr>
        <w:spacing w:line="1" w:lineRule="exact"/>
        <w:rPr>
          <w:sz w:val="20"/>
          <w:szCs w:val="20"/>
        </w:rPr>
      </w:pPr>
    </w:p>
    <w:p w14:paraId="72EA8B9F" w14:textId="77777777" w:rsidR="001912EB" w:rsidRDefault="001912EB" w:rsidP="001912EB">
      <w:pPr>
        <w:rPr>
          <w:sz w:val="20"/>
          <w:szCs w:val="20"/>
        </w:rPr>
      </w:pPr>
      <w:r>
        <w:rPr>
          <w:rFonts w:eastAsia="Times New Roman"/>
          <w:sz w:val="21"/>
          <w:szCs w:val="21"/>
        </w:rPr>
        <w:t>Puh/Tel: +358 9 2514 4221</w:t>
      </w:r>
    </w:p>
    <w:p w14:paraId="2AFB3A17" w14:textId="77777777" w:rsidR="001912EB" w:rsidRDefault="001912EB" w:rsidP="001912EB">
      <w:pPr>
        <w:spacing w:line="211" w:lineRule="exact"/>
        <w:rPr>
          <w:sz w:val="20"/>
          <w:szCs w:val="20"/>
        </w:rPr>
      </w:pPr>
    </w:p>
    <w:p w14:paraId="02F04A6B"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576397FA" w14:textId="77777777" w:rsidR="001912EB" w:rsidRDefault="001912EB" w:rsidP="001912EB">
      <w:pPr>
        <w:spacing w:line="53" w:lineRule="exact"/>
        <w:rPr>
          <w:sz w:val="20"/>
          <w:szCs w:val="20"/>
        </w:rPr>
      </w:pPr>
    </w:p>
    <w:p w14:paraId="22CA3900" w14:textId="77777777" w:rsidR="001912EB" w:rsidRDefault="001912EB" w:rsidP="001912EB">
      <w:pPr>
        <w:rPr>
          <w:sz w:val="20"/>
          <w:szCs w:val="20"/>
        </w:rPr>
      </w:pPr>
      <w:r>
        <w:rPr>
          <w:rFonts w:eastAsia="Times New Roman"/>
          <w:b/>
          <w:bCs/>
        </w:rPr>
        <w:t>Κύπρος</w:t>
      </w:r>
    </w:p>
    <w:p w14:paraId="42F9840D" w14:textId="77777777" w:rsidR="001912EB" w:rsidRDefault="001912EB" w:rsidP="001912EB">
      <w:pPr>
        <w:rPr>
          <w:sz w:val="20"/>
          <w:szCs w:val="20"/>
        </w:rPr>
      </w:pPr>
      <w:r>
        <w:rPr>
          <w:rFonts w:eastAsia="Times New Roman"/>
          <w:sz w:val="21"/>
          <w:szCs w:val="21"/>
        </w:rPr>
        <w:t>Lifepharma (Z.A.M.) Ltd</w:t>
      </w:r>
    </w:p>
    <w:p w14:paraId="794BB266" w14:textId="77777777" w:rsidR="001912EB" w:rsidRDefault="001912EB" w:rsidP="001912EB">
      <w:pPr>
        <w:spacing w:line="13" w:lineRule="exact"/>
        <w:rPr>
          <w:sz w:val="20"/>
          <w:szCs w:val="20"/>
        </w:rPr>
      </w:pPr>
    </w:p>
    <w:p w14:paraId="6807DE6D" w14:textId="77777777" w:rsidR="001912EB" w:rsidRDefault="001912EB" w:rsidP="001912EB">
      <w:pPr>
        <w:rPr>
          <w:sz w:val="20"/>
          <w:szCs w:val="20"/>
        </w:rPr>
      </w:pPr>
      <w:r>
        <w:rPr>
          <w:rFonts w:eastAsia="Times New Roman"/>
        </w:rPr>
        <w:t>Τηλ: + 357 22 34 74 40</w:t>
      </w:r>
    </w:p>
    <w:p w14:paraId="10ECE0AE" w14:textId="77777777" w:rsidR="001912EB" w:rsidRDefault="001912EB" w:rsidP="001912EB">
      <w:pPr>
        <w:spacing w:line="20" w:lineRule="exact"/>
        <w:rPr>
          <w:sz w:val="20"/>
          <w:szCs w:val="20"/>
        </w:rPr>
      </w:pPr>
      <w:r>
        <w:rPr>
          <w:sz w:val="20"/>
          <w:szCs w:val="20"/>
        </w:rPr>
        <w:br w:type="column"/>
      </w:r>
    </w:p>
    <w:p w14:paraId="6A7427F5" w14:textId="77777777" w:rsidR="001912EB" w:rsidRDefault="001912EB" w:rsidP="001912EB">
      <w:pPr>
        <w:spacing w:line="33" w:lineRule="exact"/>
        <w:rPr>
          <w:sz w:val="20"/>
          <w:szCs w:val="20"/>
        </w:rPr>
      </w:pPr>
    </w:p>
    <w:p w14:paraId="052DDD6A" w14:textId="77777777" w:rsidR="001912EB" w:rsidRDefault="001912EB" w:rsidP="001912EB">
      <w:pPr>
        <w:rPr>
          <w:sz w:val="20"/>
          <w:szCs w:val="20"/>
        </w:rPr>
      </w:pPr>
      <w:r>
        <w:rPr>
          <w:rFonts w:eastAsia="Times New Roman"/>
          <w:b/>
          <w:bCs/>
        </w:rPr>
        <w:t>Sverige</w:t>
      </w:r>
    </w:p>
    <w:p w14:paraId="4B93E534" w14:textId="77777777" w:rsidR="001912EB" w:rsidRDefault="001912EB" w:rsidP="001912EB">
      <w:pPr>
        <w:rPr>
          <w:sz w:val="20"/>
          <w:szCs w:val="20"/>
        </w:rPr>
      </w:pPr>
      <w:r>
        <w:rPr>
          <w:rFonts w:eastAsia="Times New Roman"/>
        </w:rPr>
        <w:t>UCB Nordic A/S</w:t>
      </w:r>
    </w:p>
    <w:p w14:paraId="03CCD07D" w14:textId="77777777" w:rsidR="001912EB" w:rsidRDefault="001912EB" w:rsidP="001912EB">
      <w:pPr>
        <w:spacing w:line="1" w:lineRule="exact"/>
        <w:rPr>
          <w:sz w:val="20"/>
          <w:szCs w:val="20"/>
        </w:rPr>
      </w:pPr>
    </w:p>
    <w:p w14:paraId="636701A8" w14:textId="77777777" w:rsidR="001912EB" w:rsidRDefault="001912EB" w:rsidP="001912EB">
      <w:pPr>
        <w:rPr>
          <w:sz w:val="20"/>
          <w:szCs w:val="20"/>
        </w:rPr>
      </w:pPr>
      <w:r>
        <w:rPr>
          <w:rFonts w:eastAsia="Times New Roman"/>
        </w:rPr>
        <w:t>Tel: + 46 / (0) 40 29 49 00</w:t>
      </w:r>
    </w:p>
    <w:p w14:paraId="01B7775B" w14:textId="77777777" w:rsidR="001912EB" w:rsidRDefault="001912EB" w:rsidP="001912EB">
      <w:pPr>
        <w:spacing w:line="200" w:lineRule="exact"/>
        <w:rPr>
          <w:sz w:val="20"/>
          <w:szCs w:val="20"/>
        </w:rPr>
      </w:pPr>
    </w:p>
    <w:p w14:paraId="766A920E" w14:textId="77777777" w:rsidR="001912EB" w:rsidRDefault="001912EB" w:rsidP="001912EB">
      <w:pPr>
        <w:sectPr w:rsidR="001912EB">
          <w:type w:val="continuous"/>
          <w:pgSz w:w="11900" w:h="16838"/>
          <w:pgMar w:top="1103" w:right="1440" w:bottom="180" w:left="1420" w:header="0" w:footer="0" w:gutter="0"/>
          <w:cols w:num="2" w:space="720" w:equalWidth="0">
            <w:col w:w="3920" w:space="720"/>
            <w:col w:w="4406"/>
          </w:cols>
        </w:sectPr>
      </w:pPr>
    </w:p>
    <w:p w14:paraId="71722589" w14:textId="77777777" w:rsidR="001912EB" w:rsidRDefault="001912EB" w:rsidP="001912EB">
      <w:pPr>
        <w:spacing w:line="200" w:lineRule="exact"/>
        <w:rPr>
          <w:sz w:val="20"/>
          <w:szCs w:val="20"/>
        </w:rPr>
      </w:pPr>
    </w:p>
    <w:p w14:paraId="4316F2AE" w14:textId="77777777" w:rsidR="001912EB" w:rsidRDefault="001912EB" w:rsidP="001912EB">
      <w:pPr>
        <w:spacing w:line="200" w:lineRule="exact"/>
        <w:rPr>
          <w:sz w:val="20"/>
          <w:szCs w:val="20"/>
        </w:rPr>
      </w:pPr>
    </w:p>
    <w:p w14:paraId="6268C511" w14:textId="77777777" w:rsidR="001912EB" w:rsidRDefault="001912EB" w:rsidP="001912EB">
      <w:pPr>
        <w:spacing w:line="300" w:lineRule="exact"/>
        <w:rPr>
          <w:sz w:val="20"/>
          <w:szCs w:val="20"/>
        </w:rPr>
      </w:pPr>
    </w:p>
    <w:p w14:paraId="685CFE6E" w14:textId="77777777" w:rsidR="001912EB" w:rsidRDefault="001912EB" w:rsidP="001912EB">
      <w:pPr>
        <w:ind w:right="346"/>
        <w:jc w:val="center"/>
        <w:rPr>
          <w:sz w:val="20"/>
          <w:szCs w:val="20"/>
        </w:rPr>
      </w:pPr>
      <w:r>
        <w:rPr>
          <w:rFonts w:ascii="Arial" w:eastAsia="Arial" w:hAnsi="Arial" w:cs="Arial"/>
          <w:sz w:val="15"/>
          <w:szCs w:val="15"/>
        </w:rPr>
        <w:t>165</w:t>
      </w:r>
    </w:p>
    <w:p w14:paraId="5299B952" w14:textId="77777777" w:rsidR="001912EB" w:rsidRDefault="001912EB" w:rsidP="001912EB">
      <w:pPr>
        <w:sectPr w:rsidR="001912EB">
          <w:type w:val="continuous"/>
          <w:pgSz w:w="11900" w:h="16838"/>
          <w:pgMar w:top="1103" w:right="1440" w:bottom="180" w:left="1420" w:header="0" w:footer="0" w:gutter="0"/>
          <w:cols w:space="720" w:equalWidth="0">
            <w:col w:w="9046"/>
          </w:cols>
        </w:sectPr>
      </w:pPr>
    </w:p>
    <w:p w14:paraId="6E676630" w14:textId="77777777" w:rsidR="001912EB" w:rsidRDefault="001912EB" w:rsidP="001912EB">
      <w:pPr>
        <w:ind w:left="80"/>
        <w:rPr>
          <w:sz w:val="20"/>
          <w:szCs w:val="20"/>
        </w:rPr>
      </w:pPr>
      <w:bookmarkStart w:id="5" w:name="page166"/>
      <w:bookmarkEnd w:id="5"/>
      <w:r>
        <w:rPr>
          <w:rFonts w:eastAsia="Times New Roman"/>
          <w:b/>
          <w:bCs/>
        </w:rPr>
        <w:lastRenderedPageBreak/>
        <w:t>Latvija</w:t>
      </w:r>
    </w:p>
    <w:p w14:paraId="0FC832C1" w14:textId="77777777" w:rsidR="001912EB" w:rsidRDefault="001912EB" w:rsidP="001912EB">
      <w:pPr>
        <w:ind w:left="80"/>
        <w:rPr>
          <w:sz w:val="20"/>
          <w:szCs w:val="20"/>
        </w:rPr>
      </w:pPr>
      <w:r>
        <w:rPr>
          <w:rFonts w:eastAsia="Times New Roman"/>
        </w:rPr>
        <w:t>UCB Pharma Oy Finland</w:t>
      </w:r>
    </w:p>
    <w:p w14:paraId="0E4FDE93" w14:textId="77777777" w:rsidR="001912EB" w:rsidRDefault="001912EB" w:rsidP="001912EB">
      <w:pPr>
        <w:ind w:left="80"/>
        <w:rPr>
          <w:sz w:val="20"/>
          <w:szCs w:val="20"/>
        </w:rPr>
      </w:pPr>
      <w:r>
        <w:rPr>
          <w:rFonts w:eastAsia="Times New Roman"/>
          <w:sz w:val="21"/>
          <w:szCs w:val="21"/>
        </w:rPr>
        <w:t>Tel: +358 9 2514 4221 (Somija)</w:t>
      </w:r>
    </w:p>
    <w:p w14:paraId="291A5351" w14:textId="77777777" w:rsidR="001912EB" w:rsidRDefault="001912EB" w:rsidP="001912EB">
      <w:pPr>
        <w:spacing w:line="20" w:lineRule="exact"/>
        <w:rPr>
          <w:sz w:val="20"/>
          <w:szCs w:val="20"/>
        </w:rPr>
      </w:pPr>
      <w:r>
        <w:rPr>
          <w:sz w:val="20"/>
          <w:szCs w:val="20"/>
        </w:rPr>
        <w:br w:type="column"/>
      </w:r>
    </w:p>
    <w:p w14:paraId="71FB20D1" w14:textId="77777777" w:rsidR="001912EB" w:rsidRDefault="001912EB" w:rsidP="001912EB">
      <w:pPr>
        <w:rPr>
          <w:sz w:val="20"/>
          <w:szCs w:val="20"/>
        </w:rPr>
      </w:pPr>
      <w:r>
        <w:rPr>
          <w:rFonts w:eastAsia="Times New Roman"/>
          <w:b/>
          <w:bCs/>
        </w:rPr>
        <w:t>United Kingdom</w:t>
      </w:r>
    </w:p>
    <w:p w14:paraId="4A26DC53" w14:textId="77777777" w:rsidR="001912EB" w:rsidRDefault="001912EB" w:rsidP="001912EB">
      <w:pPr>
        <w:rPr>
          <w:sz w:val="20"/>
          <w:szCs w:val="20"/>
        </w:rPr>
      </w:pPr>
      <w:r>
        <w:rPr>
          <w:rFonts w:eastAsia="Times New Roman"/>
        </w:rPr>
        <w:t>UCB Pharma Ltd.</w:t>
      </w:r>
    </w:p>
    <w:p w14:paraId="4FDF334B" w14:textId="77777777" w:rsidR="001912EB" w:rsidRDefault="001912EB" w:rsidP="001912EB">
      <w:pPr>
        <w:rPr>
          <w:sz w:val="20"/>
          <w:szCs w:val="20"/>
        </w:rPr>
      </w:pPr>
      <w:r>
        <w:rPr>
          <w:rFonts w:eastAsia="Times New Roman"/>
          <w:sz w:val="21"/>
          <w:szCs w:val="21"/>
        </w:rPr>
        <w:t>Tel : + 44 / (0)1753 534 655</w:t>
      </w:r>
    </w:p>
    <w:p w14:paraId="40BFA79A" w14:textId="77777777" w:rsidR="001912EB" w:rsidRDefault="001912EB" w:rsidP="001912EB">
      <w:pPr>
        <w:spacing w:line="200" w:lineRule="exact"/>
        <w:rPr>
          <w:sz w:val="20"/>
          <w:szCs w:val="20"/>
        </w:rPr>
      </w:pPr>
    </w:p>
    <w:p w14:paraId="138D933E" w14:textId="77777777" w:rsidR="001912EB" w:rsidRDefault="001912EB" w:rsidP="001912EB">
      <w:pPr>
        <w:sectPr w:rsidR="001912EB">
          <w:pgSz w:w="11900" w:h="16838"/>
          <w:pgMar w:top="1103" w:right="1306" w:bottom="176" w:left="1340" w:header="0" w:footer="0" w:gutter="0"/>
          <w:cols w:num="2" w:space="720" w:equalWidth="0">
            <w:col w:w="4000" w:space="720"/>
            <w:col w:w="4540"/>
          </w:cols>
        </w:sectPr>
      </w:pPr>
    </w:p>
    <w:p w14:paraId="39567243" w14:textId="77777777" w:rsidR="001912EB" w:rsidRDefault="001912EB" w:rsidP="001912EB">
      <w:pPr>
        <w:spacing w:line="321" w:lineRule="exact"/>
        <w:rPr>
          <w:sz w:val="20"/>
          <w:szCs w:val="20"/>
        </w:rPr>
      </w:pPr>
    </w:p>
    <w:p w14:paraId="446A4BC8" w14:textId="77777777" w:rsidR="001912EB" w:rsidRDefault="001912EB" w:rsidP="001912EB">
      <w:pPr>
        <w:ind w:left="80"/>
        <w:rPr>
          <w:sz w:val="20"/>
          <w:szCs w:val="20"/>
        </w:rPr>
      </w:pPr>
      <w:r>
        <w:rPr>
          <w:rFonts w:eastAsia="Times New Roman"/>
          <w:b/>
          <w:bCs/>
        </w:rPr>
        <w:t>Šis pakuotės lapelis paskutinį kartą peržiūrėtas</w:t>
      </w:r>
    </w:p>
    <w:p w14:paraId="3CEA1086" w14:textId="77777777" w:rsidR="001912EB" w:rsidRDefault="001912EB" w:rsidP="001912EB">
      <w:pPr>
        <w:spacing w:line="251" w:lineRule="exact"/>
        <w:rPr>
          <w:sz w:val="20"/>
          <w:szCs w:val="20"/>
        </w:rPr>
      </w:pPr>
    </w:p>
    <w:p w14:paraId="7A88A87D" w14:textId="77777777" w:rsidR="001912EB" w:rsidRDefault="001912EB" w:rsidP="001912EB">
      <w:pPr>
        <w:ind w:left="80"/>
        <w:rPr>
          <w:sz w:val="20"/>
          <w:szCs w:val="20"/>
        </w:rPr>
      </w:pPr>
      <w:r>
        <w:rPr>
          <w:rFonts w:eastAsia="Times New Roman"/>
          <w:b/>
          <w:bCs/>
        </w:rPr>
        <w:t>Kiti informacijos šaltiniai</w:t>
      </w:r>
    </w:p>
    <w:p w14:paraId="67B4AC02" w14:textId="77777777" w:rsidR="001912EB" w:rsidRDefault="001912EB" w:rsidP="001912EB">
      <w:pPr>
        <w:spacing w:line="252" w:lineRule="exact"/>
        <w:rPr>
          <w:sz w:val="20"/>
          <w:szCs w:val="20"/>
        </w:rPr>
      </w:pPr>
    </w:p>
    <w:p w14:paraId="1937B873" w14:textId="77777777" w:rsidR="001912EB" w:rsidRDefault="001912EB" w:rsidP="001912EB">
      <w:pPr>
        <w:spacing w:line="281" w:lineRule="auto"/>
        <w:ind w:left="80" w:right="940"/>
        <w:rPr>
          <w:rFonts w:eastAsia="Times New Roman"/>
          <w:color w:val="0000FF"/>
          <w:u w:val="single"/>
        </w:rPr>
      </w:pPr>
      <w:r>
        <w:rPr>
          <w:rFonts w:eastAsia="Times New Roman"/>
        </w:rPr>
        <w:t xml:space="preserve">Išsami informacija apie šį vaistinį preparatą pateikiama Europos vaistų agentūros tinklalapyje </w:t>
      </w:r>
      <w:hyperlink r:id="rId6">
        <w:r>
          <w:rPr>
            <w:rFonts w:eastAsia="Times New Roman"/>
            <w:color w:val="0000FF"/>
            <w:u w:val="single"/>
          </w:rPr>
          <w:t>http://www.ema.europa.eu/</w:t>
        </w:r>
      </w:hyperlink>
    </w:p>
    <w:p w14:paraId="09ABC097" w14:textId="77777777" w:rsidR="001912EB" w:rsidRDefault="001912EB" w:rsidP="001912EB">
      <w:pPr>
        <w:spacing w:line="163" w:lineRule="exact"/>
        <w:rPr>
          <w:sz w:val="20"/>
          <w:szCs w:val="20"/>
        </w:rPr>
      </w:pPr>
    </w:p>
    <w:p w14:paraId="1D0805CC" w14:textId="77777777" w:rsidR="001912EB" w:rsidRDefault="001912EB" w:rsidP="001912EB">
      <w:pPr>
        <w:ind w:left="80"/>
        <w:rPr>
          <w:sz w:val="20"/>
          <w:szCs w:val="20"/>
        </w:rPr>
      </w:pPr>
      <w:r>
        <w:rPr>
          <w:rFonts w:eastAsia="Times New Roman"/>
          <w:sz w:val="24"/>
          <w:szCs w:val="24"/>
        </w:rPr>
        <w:t>-----------------------------------------------------------------------------------------------------------------</w:t>
      </w:r>
    </w:p>
    <w:p w14:paraId="57D32BA4" w14:textId="77777777" w:rsidR="001912EB" w:rsidRDefault="001912EB" w:rsidP="001912EB">
      <w:pPr>
        <w:spacing w:line="257" w:lineRule="exact"/>
        <w:rPr>
          <w:sz w:val="20"/>
          <w:szCs w:val="20"/>
        </w:rPr>
      </w:pPr>
    </w:p>
    <w:p w14:paraId="5B3E05D2" w14:textId="77777777" w:rsidR="001912EB" w:rsidRDefault="001912EB" w:rsidP="001912EB">
      <w:pPr>
        <w:ind w:left="80"/>
        <w:rPr>
          <w:sz w:val="20"/>
          <w:szCs w:val="20"/>
        </w:rPr>
      </w:pPr>
      <w:r>
        <w:rPr>
          <w:rFonts w:eastAsia="Times New Roman"/>
          <w:b/>
          <w:bCs/>
        </w:rPr>
        <w:t>Toliau pateikta informacija skirta tik sveikatos priežiūros specialistams:</w:t>
      </w:r>
    </w:p>
    <w:p w14:paraId="757241EC" w14:textId="77777777" w:rsidR="001912EB" w:rsidRDefault="001912EB" w:rsidP="001912EB">
      <w:pPr>
        <w:ind w:left="80"/>
        <w:rPr>
          <w:sz w:val="20"/>
          <w:szCs w:val="20"/>
        </w:rPr>
      </w:pPr>
      <w:r>
        <w:rPr>
          <w:rFonts w:eastAsia="Times New Roman"/>
        </w:rPr>
        <w:t>Nurodymai, kaip taisyklingai vartoti Keppra, pateikti 3 skyriuje.</w:t>
      </w:r>
    </w:p>
    <w:p w14:paraId="3B57E582" w14:textId="77777777" w:rsidR="001912EB" w:rsidRDefault="001912EB" w:rsidP="001912EB">
      <w:pPr>
        <w:spacing w:line="253" w:lineRule="exact"/>
        <w:rPr>
          <w:sz w:val="20"/>
          <w:szCs w:val="20"/>
        </w:rPr>
      </w:pPr>
    </w:p>
    <w:p w14:paraId="360C7FEC" w14:textId="77777777" w:rsidR="001912EB" w:rsidRDefault="001912EB" w:rsidP="001912EB">
      <w:pPr>
        <w:spacing w:line="260" w:lineRule="auto"/>
        <w:ind w:left="80" w:right="260"/>
        <w:rPr>
          <w:sz w:val="20"/>
          <w:szCs w:val="20"/>
        </w:rPr>
      </w:pPr>
      <w:r>
        <w:rPr>
          <w:rFonts w:eastAsia="Times New Roman"/>
        </w:rPr>
        <w:t>Viename Keppra koncentrato flakone yra 500 mg levetiracetamo (5 ml koncentrato po 100 mg/ml). 1 lentelėje nurodyta Keppra koncentrato paruošimo tvarka norint pasiekti reikiamą 500 mg, 1000 mg, 2000 mg arba 3000 mg paros dozę, padalytą į dvi dalis.</w:t>
      </w:r>
    </w:p>
    <w:p w14:paraId="18945674" w14:textId="77777777" w:rsidR="001912EB" w:rsidRDefault="001912EB" w:rsidP="001912EB">
      <w:pPr>
        <w:spacing w:line="191" w:lineRule="exact"/>
        <w:rPr>
          <w:sz w:val="20"/>
          <w:szCs w:val="20"/>
        </w:rPr>
      </w:pPr>
    </w:p>
    <w:p w14:paraId="0DC57231" w14:textId="77777777" w:rsidR="001912EB" w:rsidRDefault="001912EB" w:rsidP="001912EB">
      <w:pPr>
        <w:ind w:left="80"/>
        <w:rPr>
          <w:sz w:val="20"/>
          <w:szCs w:val="20"/>
        </w:rPr>
      </w:pPr>
      <w:r>
        <w:rPr>
          <w:rFonts w:eastAsia="Times New Roman"/>
          <w:u w:val="single"/>
        </w:rPr>
        <w:t>1 lentelė. Keppra koncentrato paruošimo ir vartojimo tvarka</w:t>
      </w:r>
    </w:p>
    <w:p w14:paraId="6ABA714E" w14:textId="77777777" w:rsidR="001912EB" w:rsidRDefault="001912EB" w:rsidP="001912EB">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2440"/>
        <w:gridCol w:w="1260"/>
        <w:gridCol w:w="1260"/>
        <w:gridCol w:w="1800"/>
        <w:gridCol w:w="1440"/>
      </w:tblGrid>
      <w:tr w:rsidR="001912EB" w14:paraId="1DADE84F" w14:textId="77777777" w:rsidTr="002A4511">
        <w:trPr>
          <w:trHeight w:val="235"/>
        </w:trPr>
        <w:tc>
          <w:tcPr>
            <w:tcW w:w="1080" w:type="dxa"/>
            <w:tcBorders>
              <w:top w:val="single" w:sz="8" w:space="0" w:color="auto"/>
              <w:left w:val="single" w:sz="8" w:space="0" w:color="auto"/>
              <w:right w:val="single" w:sz="8" w:space="0" w:color="auto"/>
            </w:tcBorders>
            <w:vAlign w:val="bottom"/>
          </w:tcPr>
          <w:p w14:paraId="0D999D53" w14:textId="77777777" w:rsidR="001912EB" w:rsidRDefault="001912EB" w:rsidP="002A4511">
            <w:pPr>
              <w:spacing w:line="235" w:lineRule="exact"/>
              <w:ind w:left="120"/>
              <w:rPr>
                <w:sz w:val="20"/>
                <w:szCs w:val="20"/>
              </w:rPr>
            </w:pPr>
            <w:r>
              <w:rPr>
                <w:rFonts w:eastAsia="Times New Roman"/>
                <w:b/>
                <w:bCs/>
              </w:rPr>
              <w:t>Dozė</w:t>
            </w:r>
          </w:p>
        </w:tc>
        <w:tc>
          <w:tcPr>
            <w:tcW w:w="2440" w:type="dxa"/>
            <w:tcBorders>
              <w:top w:val="single" w:sz="8" w:space="0" w:color="auto"/>
              <w:right w:val="single" w:sz="8" w:space="0" w:color="auto"/>
            </w:tcBorders>
            <w:vAlign w:val="bottom"/>
          </w:tcPr>
          <w:p w14:paraId="5935206A" w14:textId="77777777" w:rsidR="001912EB" w:rsidRDefault="001912EB" w:rsidP="002A4511">
            <w:pPr>
              <w:spacing w:line="235" w:lineRule="exact"/>
              <w:ind w:left="100"/>
              <w:rPr>
                <w:sz w:val="20"/>
                <w:szCs w:val="20"/>
              </w:rPr>
            </w:pPr>
            <w:r>
              <w:rPr>
                <w:rFonts w:eastAsia="Times New Roman"/>
                <w:b/>
                <w:bCs/>
              </w:rPr>
              <w:t>Reikiamas koncentrato</w:t>
            </w:r>
          </w:p>
        </w:tc>
        <w:tc>
          <w:tcPr>
            <w:tcW w:w="1260" w:type="dxa"/>
            <w:tcBorders>
              <w:top w:val="single" w:sz="8" w:space="0" w:color="auto"/>
              <w:right w:val="single" w:sz="8" w:space="0" w:color="auto"/>
            </w:tcBorders>
            <w:vAlign w:val="bottom"/>
          </w:tcPr>
          <w:p w14:paraId="6629633D" w14:textId="77777777" w:rsidR="001912EB" w:rsidRDefault="001912EB" w:rsidP="002A4511">
            <w:pPr>
              <w:spacing w:line="235" w:lineRule="exact"/>
              <w:ind w:left="80"/>
              <w:rPr>
                <w:sz w:val="20"/>
                <w:szCs w:val="20"/>
              </w:rPr>
            </w:pPr>
            <w:r>
              <w:rPr>
                <w:rFonts w:eastAsia="Times New Roman"/>
                <w:b/>
                <w:bCs/>
              </w:rPr>
              <w:t>Skiediklio</w:t>
            </w:r>
          </w:p>
        </w:tc>
        <w:tc>
          <w:tcPr>
            <w:tcW w:w="1260" w:type="dxa"/>
            <w:tcBorders>
              <w:top w:val="single" w:sz="8" w:space="0" w:color="auto"/>
              <w:right w:val="single" w:sz="8" w:space="0" w:color="auto"/>
            </w:tcBorders>
            <w:vAlign w:val="bottom"/>
          </w:tcPr>
          <w:p w14:paraId="5CD1081B" w14:textId="77777777" w:rsidR="001912EB" w:rsidRDefault="001912EB" w:rsidP="002A4511">
            <w:pPr>
              <w:spacing w:line="235" w:lineRule="exact"/>
              <w:ind w:left="80"/>
              <w:rPr>
                <w:sz w:val="20"/>
                <w:szCs w:val="20"/>
              </w:rPr>
            </w:pPr>
            <w:r>
              <w:rPr>
                <w:rFonts w:eastAsia="Times New Roman"/>
                <w:b/>
                <w:bCs/>
              </w:rPr>
              <w:t>Infuzijos</w:t>
            </w:r>
          </w:p>
        </w:tc>
        <w:tc>
          <w:tcPr>
            <w:tcW w:w="1800" w:type="dxa"/>
            <w:tcBorders>
              <w:top w:val="single" w:sz="8" w:space="0" w:color="auto"/>
              <w:right w:val="single" w:sz="8" w:space="0" w:color="auto"/>
            </w:tcBorders>
            <w:vAlign w:val="bottom"/>
          </w:tcPr>
          <w:p w14:paraId="5A30D1B1" w14:textId="77777777" w:rsidR="001912EB" w:rsidRDefault="001912EB" w:rsidP="002A4511">
            <w:pPr>
              <w:spacing w:line="235" w:lineRule="exact"/>
              <w:ind w:left="80"/>
              <w:rPr>
                <w:sz w:val="20"/>
                <w:szCs w:val="20"/>
              </w:rPr>
            </w:pPr>
            <w:r>
              <w:rPr>
                <w:rFonts w:eastAsia="Times New Roman"/>
                <w:b/>
                <w:bCs/>
              </w:rPr>
              <w:t>Vartojimo</w:t>
            </w:r>
          </w:p>
        </w:tc>
        <w:tc>
          <w:tcPr>
            <w:tcW w:w="1440" w:type="dxa"/>
            <w:tcBorders>
              <w:top w:val="single" w:sz="8" w:space="0" w:color="auto"/>
              <w:right w:val="single" w:sz="8" w:space="0" w:color="auto"/>
            </w:tcBorders>
            <w:vAlign w:val="bottom"/>
          </w:tcPr>
          <w:p w14:paraId="1DE963FF" w14:textId="77777777" w:rsidR="001912EB" w:rsidRDefault="001912EB" w:rsidP="002A4511">
            <w:pPr>
              <w:spacing w:line="235" w:lineRule="exact"/>
              <w:ind w:left="80"/>
              <w:rPr>
                <w:sz w:val="20"/>
                <w:szCs w:val="20"/>
              </w:rPr>
            </w:pPr>
            <w:r>
              <w:rPr>
                <w:rFonts w:eastAsia="Times New Roman"/>
                <w:b/>
                <w:bCs/>
              </w:rPr>
              <w:t>Paros dozė</w:t>
            </w:r>
          </w:p>
        </w:tc>
      </w:tr>
      <w:tr w:rsidR="001912EB" w14:paraId="4B0C7067" w14:textId="77777777" w:rsidTr="002A4511">
        <w:trPr>
          <w:trHeight w:val="281"/>
        </w:trPr>
        <w:tc>
          <w:tcPr>
            <w:tcW w:w="1080" w:type="dxa"/>
            <w:tcBorders>
              <w:left w:val="single" w:sz="8" w:space="0" w:color="auto"/>
              <w:bottom w:val="single" w:sz="8" w:space="0" w:color="auto"/>
              <w:right w:val="single" w:sz="8" w:space="0" w:color="auto"/>
            </w:tcBorders>
            <w:vAlign w:val="bottom"/>
          </w:tcPr>
          <w:p w14:paraId="33B5DACB" w14:textId="77777777" w:rsidR="001912EB" w:rsidRDefault="001912EB" w:rsidP="002A4511">
            <w:pPr>
              <w:rPr>
                <w:sz w:val="24"/>
                <w:szCs w:val="24"/>
              </w:rPr>
            </w:pPr>
          </w:p>
        </w:tc>
        <w:tc>
          <w:tcPr>
            <w:tcW w:w="2440" w:type="dxa"/>
            <w:tcBorders>
              <w:bottom w:val="single" w:sz="8" w:space="0" w:color="auto"/>
              <w:right w:val="single" w:sz="8" w:space="0" w:color="auto"/>
            </w:tcBorders>
            <w:vAlign w:val="bottom"/>
          </w:tcPr>
          <w:p w14:paraId="62976B25" w14:textId="77777777" w:rsidR="001912EB" w:rsidRDefault="001912EB" w:rsidP="002A4511">
            <w:pPr>
              <w:ind w:left="100"/>
              <w:rPr>
                <w:sz w:val="20"/>
                <w:szCs w:val="20"/>
              </w:rPr>
            </w:pPr>
            <w:r>
              <w:rPr>
                <w:rFonts w:eastAsia="Times New Roman"/>
                <w:b/>
                <w:bCs/>
              </w:rPr>
              <w:t>tūris</w:t>
            </w:r>
          </w:p>
        </w:tc>
        <w:tc>
          <w:tcPr>
            <w:tcW w:w="1260" w:type="dxa"/>
            <w:tcBorders>
              <w:bottom w:val="single" w:sz="8" w:space="0" w:color="auto"/>
              <w:right w:val="single" w:sz="8" w:space="0" w:color="auto"/>
            </w:tcBorders>
            <w:vAlign w:val="bottom"/>
          </w:tcPr>
          <w:p w14:paraId="65F65CA1" w14:textId="77777777" w:rsidR="001912EB" w:rsidRDefault="001912EB" w:rsidP="002A4511">
            <w:pPr>
              <w:ind w:left="80"/>
              <w:rPr>
                <w:sz w:val="20"/>
                <w:szCs w:val="20"/>
              </w:rPr>
            </w:pPr>
            <w:r>
              <w:rPr>
                <w:rFonts w:eastAsia="Times New Roman"/>
                <w:b/>
                <w:bCs/>
              </w:rPr>
              <w:t>tūris</w:t>
            </w:r>
          </w:p>
        </w:tc>
        <w:tc>
          <w:tcPr>
            <w:tcW w:w="1260" w:type="dxa"/>
            <w:tcBorders>
              <w:bottom w:val="single" w:sz="8" w:space="0" w:color="auto"/>
              <w:right w:val="single" w:sz="8" w:space="0" w:color="auto"/>
            </w:tcBorders>
            <w:vAlign w:val="bottom"/>
          </w:tcPr>
          <w:p w14:paraId="374C85CC" w14:textId="77777777" w:rsidR="001912EB" w:rsidRDefault="001912EB" w:rsidP="002A4511">
            <w:pPr>
              <w:ind w:left="80"/>
              <w:rPr>
                <w:sz w:val="20"/>
                <w:szCs w:val="20"/>
              </w:rPr>
            </w:pPr>
            <w:r>
              <w:rPr>
                <w:rFonts w:eastAsia="Times New Roman"/>
                <w:b/>
                <w:bCs/>
              </w:rPr>
              <w:t>trukmė</w:t>
            </w:r>
          </w:p>
        </w:tc>
        <w:tc>
          <w:tcPr>
            <w:tcW w:w="1800" w:type="dxa"/>
            <w:tcBorders>
              <w:bottom w:val="single" w:sz="8" w:space="0" w:color="auto"/>
              <w:right w:val="single" w:sz="8" w:space="0" w:color="auto"/>
            </w:tcBorders>
            <w:vAlign w:val="bottom"/>
          </w:tcPr>
          <w:p w14:paraId="0DB5BFE0" w14:textId="77777777" w:rsidR="001912EB" w:rsidRDefault="001912EB" w:rsidP="002A4511">
            <w:pPr>
              <w:ind w:left="80"/>
              <w:rPr>
                <w:sz w:val="20"/>
                <w:szCs w:val="20"/>
              </w:rPr>
            </w:pPr>
            <w:r>
              <w:rPr>
                <w:rFonts w:eastAsia="Times New Roman"/>
                <w:b/>
                <w:bCs/>
              </w:rPr>
              <w:t>dažnis</w:t>
            </w:r>
          </w:p>
        </w:tc>
        <w:tc>
          <w:tcPr>
            <w:tcW w:w="1440" w:type="dxa"/>
            <w:tcBorders>
              <w:bottom w:val="single" w:sz="8" w:space="0" w:color="auto"/>
              <w:right w:val="single" w:sz="8" w:space="0" w:color="auto"/>
            </w:tcBorders>
            <w:vAlign w:val="bottom"/>
          </w:tcPr>
          <w:p w14:paraId="108EA2E9" w14:textId="77777777" w:rsidR="001912EB" w:rsidRDefault="001912EB" w:rsidP="002A4511">
            <w:pPr>
              <w:rPr>
                <w:sz w:val="24"/>
                <w:szCs w:val="24"/>
              </w:rPr>
            </w:pPr>
          </w:p>
        </w:tc>
      </w:tr>
      <w:tr w:rsidR="001912EB" w14:paraId="2E3905DF" w14:textId="77777777" w:rsidTr="002A4511">
        <w:trPr>
          <w:trHeight w:val="214"/>
        </w:trPr>
        <w:tc>
          <w:tcPr>
            <w:tcW w:w="1080" w:type="dxa"/>
            <w:tcBorders>
              <w:left w:val="single" w:sz="8" w:space="0" w:color="auto"/>
              <w:right w:val="single" w:sz="8" w:space="0" w:color="auto"/>
            </w:tcBorders>
            <w:vAlign w:val="bottom"/>
          </w:tcPr>
          <w:p w14:paraId="3740FC41" w14:textId="77777777" w:rsidR="001912EB" w:rsidRDefault="001912EB" w:rsidP="002A4511">
            <w:pPr>
              <w:spacing w:line="213" w:lineRule="exact"/>
              <w:ind w:left="120"/>
              <w:rPr>
                <w:sz w:val="20"/>
                <w:szCs w:val="20"/>
              </w:rPr>
            </w:pPr>
            <w:r>
              <w:rPr>
                <w:rFonts w:eastAsia="Times New Roman"/>
              </w:rPr>
              <w:t>250 mg</w:t>
            </w:r>
          </w:p>
        </w:tc>
        <w:tc>
          <w:tcPr>
            <w:tcW w:w="2440" w:type="dxa"/>
            <w:tcBorders>
              <w:right w:val="single" w:sz="8" w:space="0" w:color="auto"/>
            </w:tcBorders>
            <w:vAlign w:val="bottom"/>
          </w:tcPr>
          <w:p w14:paraId="531A2579" w14:textId="77777777" w:rsidR="001912EB" w:rsidRDefault="001912EB" w:rsidP="002A4511">
            <w:pPr>
              <w:spacing w:line="213" w:lineRule="exact"/>
              <w:ind w:left="100"/>
              <w:rPr>
                <w:sz w:val="20"/>
                <w:szCs w:val="20"/>
              </w:rPr>
            </w:pPr>
            <w:r>
              <w:rPr>
                <w:rFonts w:eastAsia="Times New Roman"/>
              </w:rPr>
              <w:t>2,5 ml (pusė 5 ml</w:t>
            </w:r>
          </w:p>
        </w:tc>
        <w:tc>
          <w:tcPr>
            <w:tcW w:w="1260" w:type="dxa"/>
            <w:tcBorders>
              <w:right w:val="single" w:sz="8" w:space="0" w:color="auto"/>
            </w:tcBorders>
            <w:vAlign w:val="bottom"/>
          </w:tcPr>
          <w:p w14:paraId="2D1C8752" w14:textId="77777777" w:rsidR="001912EB" w:rsidRDefault="001912EB" w:rsidP="002A4511">
            <w:pPr>
              <w:spacing w:line="213" w:lineRule="exact"/>
              <w:ind w:left="80"/>
              <w:rPr>
                <w:sz w:val="20"/>
                <w:szCs w:val="20"/>
              </w:rPr>
            </w:pPr>
            <w:r>
              <w:rPr>
                <w:rFonts w:eastAsia="Times New Roman"/>
              </w:rPr>
              <w:t>100 ml</w:t>
            </w:r>
          </w:p>
        </w:tc>
        <w:tc>
          <w:tcPr>
            <w:tcW w:w="1260" w:type="dxa"/>
            <w:tcBorders>
              <w:right w:val="single" w:sz="8" w:space="0" w:color="auto"/>
            </w:tcBorders>
            <w:vAlign w:val="bottom"/>
          </w:tcPr>
          <w:p w14:paraId="3A803200" w14:textId="77777777" w:rsidR="001912EB" w:rsidRDefault="001912EB" w:rsidP="002A4511">
            <w:pPr>
              <w:spacing w:line="213" w:lineRule="exact"/>
              <w:ind w:left="80"/>
              <w:rPr>
                <w:sz w:val="20"/>
                <w:szCs w:val="20"/>
              </w:rPr>
            </w:pPr>
            <w:r>
              <w:rPr>
                <w:rFonts w:eastAsia="Times New Roman"/>
              </w:rPr>
              <w:t>15 minučių</w:t>
            </w:r>
          </w:p>
        </w:tc>
        <w:tc>
          <w:tcPr>
            <w:tcW w:w="1800" w:type="dxa"/>
            <w:tcBorders>
              <w:right w:val="single" w:sz="8" w:space="0" w:color="auto"/>
            </w:tcBorders>
            <w:vAlign w:val="bottom"/>
          </w:tcPr>
          <w:p w14:paraId="630B0257" w14:textId="77777777" w:rsidR="001912EB" w:rsidRDefault="001912EB" w:rsidP="002A4511">
            <w:pPr>
              <w:spacing w:line="213" w:lineRule="exact"/>
              <w:ind w:left="80"/>
              <w:rPr>
                <w:sz w:val="20"/>
                <w:szCs w:val="20"/>
              </w:rPr>
            </w:pPr>
            <w:r>
              <w:rPr>
                <w:rFonts w:eastAsia="Times New Roman"/>
              </w:rPr>
              <w:t>2 kartus per parą</w:t>
            </w:r>
          </w:p>
        </w:tc>
        <w:tc>
          <w:tcPr>
            <w:tcW w:w="1440" w:type="dxa"/>
            <w:tcBorders>
              <w:right w:val="single" w:sz="8" w:space="0" w:color="auto"/>
            </w:tcBorders>
            <w:vAlign w:val="bottom"/>
          </w:tcPr>
          <w:p w14:paraId="3865A35D" w14:textId="77777777" w:rsidR="001912EB" w:rsidRDefault="001912EB" w:rsidP="002A4511">
            <w:pPr>
              <w:spacing w:line="213" w:lineRule="exact"/>
              <w:ind w:left="80"/>
              <w:rPr>
                <w:sz w:val="20"/>
                <w:szCs w:val="20"/>
              </w:rPr>
            </w:pPr>
            <w:r>
              <w:rPr>
                <w:rFonts w:eastAsia="Times New Roman"/>
              </w:rPr>
              <w:t>500 mg/parą</w:t>
            </w:r>
          </w:p>
        </w:tc>
      </w:tr>
      <w:tr w:rsidR="001912EB" w14:paraId="38B09131" w14:textId="77777777" w:rsidTr="002A4511">
        <w:trPr>
          <w:trHeight w:val="282"/>
        </w:trPr>
        <w:tc>
          <w:tcPr>
            <w:tcW w:w="1080" w:type="dxa"/>
            <w:tcBorders>
              <w:left w:val="single" w:sz="8" w:space="0" w:color="auto"/>
              <w:bottom w:val="single" w:sz="8" w:space="0" w:color="auto"/>
              <w:right w:val="single" w:sz="8" w:space="0" w:color="auto"/>
            </w:tcBorders>
            <w:vAlign w:val="bottom"/>
          </w:tcPr>
          <w:p w14:paraId="5CA302BE" w14:textId="77777777" w:rsidR="001912EB" w:rsidRDefault="001912EB" w:rsidP="002A4511">
            <w:pPr>
              <w:rPr>
                <w:sz w:val="24"/>
                <w:szCs w:val="24"/>
              </w:rPr>
            </w:pPr>
          </w:p>
        </w:tc>
        <w:tc>
          <w:tcPr>
            <w:tcW w:w="2440" w:type="dxa"/>
            <w:tcBorders>
              <w:bottom w:val="single" w:sz="8" w:space="0" w:color="auto"/>
              <w:right w:val="single" w:sz="8" w:space="0" w:color="auto"/>
            </w:tcBorders>
            <w:vAlign w:val="bottom"/>
          </w:tcPr>
          <w:p w14:paraId="74AD1ED8" w14:textId="77777777" w:rsidR="001912EB" w:rsidRDefault="001912EB" w:rsidP="002A4511">
            <w:pPr>
              <w:ind w:left="100"/>
              <w:rPr>
                <w:sz w:val="20"/>
                <w:szCs w:val="20"/>
              </w:rPr>
            </w:pPr>
            <w:r>
              <w:rPr>
                <w:rFonts w:eastAsia="Times New Roman"/>
              </w:rPr>
              <w:t>flakono)</w:t>
            </w:r>
          </w:p>
        </w:tc>
        <w:tc>
          <w:tcPr>
            <w:tcW w:w="1260" w:type="dxa"/>
            <w:tcBorders>
              <w:bottom w:val="single" w:sz="8" w:space="0" w:color="auto"/>
              <w:right w:val="single" w:sz="8" w:space="0" w:color="auto"/>
            </w:tcBorders>
            <w:vAlign w:val="bottom"/>
          </w:tcPr>
          <w:p w14:paraId="30852CEC" w14:textId="77777777" w:rsidR="001912EB" w:rsidRDefault="001912EB" w:rsidP="002A4511">
            <w:pPr>
              <w:rPr>
                <w:sz w:val="24"/>
                <w:szCs w:val="24"/>
              </w:rPr>
            </w:pPr>
          </w:p>
        </w:tc>
        <w:tc>
          <w:tcPr>
            <w:tcW w:w="1260" w:type="dxa"/>
            <w:tcBorders>
              <w:bottom w:val="single" w:sz="8" w:space="0" w:color="auto"/>
              <w:right w:val="single" w:sz="8" w:space="0" w:color="auto"/>
            </w:tcBorders>
            <w:vAlign w:val="bottom"/>
          </w:tcPr>
          <w:p w14:paraId="0019154E" w14:textId="77777777" w:rsidR="001912EB" w:rsidRDefault="001912EB" w:rsidP="002A4511">
            <w:pPr>
              <w:rPr>
                <w:sz w:val="24"/>
                <w:szCs w:val="24"/>
              </w:rPr>
            </w:pPr>
          </w:p>
        </w:tc>
        <w:tc>
          <w:tcPr>
            <w:tcW w:w="1800" w:type="dxa"/>
            <w:tcBorders>
              <w:bottom w:val="single" w:sz="8" w:space="0" w:color="auto"/>
              <w:right w:val="single" w:sz="8" w:space="0" w:color="auto"/>
            </w:tcBorders>
            <w:vAlign w:val="bottom"/>
          </w:tcPr>
          <w:p w14:paraId="5D531452" w14:textId="77777777" w:rsidR="001912EB" w:rsidRDefault="001912EB" w:rsidP="002A4511">
            <w:pPr>
              <w:rPr>
                <w:sz w:val="24"/>
                <w:szCs w:val="24"/>
              </w:rPr>
            </w:pPr>
          </w:p>
        </w:tc>
        <w:tc>
          <w:tcPr>
            <w:tcW w:w="1440" w:type="dxa"/>
            <w:tcBorders>
              <w:bottom w:val="single" w:sz="8" w:space="0" w:color="auto"/>
              <w:right w:val="single" w:sz="8" w:space="0" w:color="auto"/>
            </w:tcBorders>
            <w:vAlign w:val="bottom"/>
          </w:tcPr>
          <w:p w14:paraId="573F7677" w14:textId="77777777" w:rsidR="001912EB" w:rsidRDefault="001912EB" w:rsidP="002A4511">
            <w:pPr>
              <w:rPr>
                <w:sz w:val="24"/>
                <w:szCs w:val="24"/>
              </w:rPr>
            </w:pPr>
          </w:p>
        </w:tc>
      </w:tr>
      <w:tr w:rsidR="001912EB" w14:paraId="0A9EC4DD" w14:textId="77777777" w:rsidTr="002A4511">
        <w:trPr>
          <w:trHeight w:val="214"/>
        </w:trPr>
        <w:tc>
          <w:tcPr>
            <w:tcW w:w="1080" w:type="dxa"/>
            <w:tcBorders>
              <w:left w:val="single" w:sz="8" w:space="0" w:color="auto"/>
              <w:right w:val="single" w:sz="8" w:space="0" w:color="auto"/>
            </w:tcBorders>
            <w:vAlign w:val="bottom"/>
          </w:tcPr>
          <w:p w14:paraId="68BED619" w14:textId="77777777" w:rsidR="001912EB" w:rsidRDefault="001912EB" w:rsidP="002A4511">
            <w:pPr>
              <w:spacing w:line="213" w:lineRule="exact"/>
              <w:ind w:left="120"/>
              <w:rPr>
                <w:sz w:val="20"/>
                <w:szCs w:val="20"/>
              </w:rPr>
            </w:pPr>
            <w:r>
              <w:rPr>
                <w:rFonts w:eastAsia="Times New Roman"/>
              </w:rPr>
              <w:t>500 mg</w:t>
            </w:r>
          </w:p>
        </w:tc>
        <w:tc>
          <w:tcPr>
            <w:tcW w:w="2440" w:type="dxa"/>
            <w:tcBorders>
              <w:right w:val="single" w:sz="8" w:space="0" w:color="auto"/>
            </w:tcBorders>
            <w:vAlign w:val="bottom"/>
          </w:tcPr>
          <w:p w14:paraId="7C2859FD" w14:textId="77777777" w:rsidR="001912EB" w:rsidRDefault="001912EB" w:rsidP="002A4511">
            <w:pPr>
              <w:spacing w:line="213" w:lineRule="exact"/>
              <w:ind w:left="100"/>
              <w:rPr>
                <w:sz w:val="20"/>
                <w:szCs w:val="20"/>
              </w:rPr>
            </w:pPr>
            <w:r>
              <w:rPr>
                <w:rFonts w:eastAsia="Times New Roman"/>
              </w:rPr>
              <w:t>5 ml (vienas 5 ml</w:t>
            </w:r>
          </w:p>
        </w:tc>
        <w:tc>
          <w:tcPr>
            <w:tcW w:w="1260" w:type="dxa"/>
            <w:tcBorders>
              <w:right w:val="single" w:sz="8" w:space="0" w:color="auto"/>
            </w:tcBorders>
            <w:vAlign w:val="bottom"/>
          </w:tcPr>
          <w:p w14:paraId="3311481B" w14:textId="77777777" w:rsidR="001912EB" w:rsidRDefault="001912EB" w:rsidP="002A4511">
            <w:pPr>
              <w:spacing w:line="213" w:lineRule="exact"/>
              <w:ind w:left="80"/>
              <w:rPr>
                <w:sz w:val="20"/>
                <w:szCs w:val="20"/>
              </w:rPr>
            </w:pPr>
            <w:r>
              <w:rPr>
                <w:rFonts w:eastAsia="Times New Roman"/>
              </w:rPr>
              <w:t>100 ml</w:t>
            </w:r>
          </w:p>
        </w:tc>
        <w:tc>
          <w:tcPr>
            <w:tcW w:w="1260" w:type="dxa"/>
            <w:tcBorders>
              <w:right w:val="single" w:sz="8" w:space="0" w:color="auto"/>
            </w:tcBorders>
            <w:vAlign w:val="bottom"/>
          </w:tcPr>
          <w:p w14:paraId="3907FDC3" w14:textId="77777777" w:rsidR="001912EB" w:rsidRDefault="001912EB" w:rsidP="002A4511">
            <w:pPr>
              <w:spacing w:line="213" w:lineRule="exact"/>
              <w:ind w:left="80"/>
              <w:rPr>
                <w:sz w:val="20"/>
                <w:szCs w:val="20"/>
              </w:rPr>
            </w:pPr>
            <w:r>
              <w:rPr>
                <w:rFonts w:eastAsia="Times New Roman"/>
              </w:rPr>
              <w:t>15 minučių</w:t>
            </w:r>
          </w:p>
        </w:tc>
        <w:tc>
          <w:tcPr>
            <w:tcW w:w="1800" w:type="dxa"/>
            <w:tcBorders>
              <w:right w:val="single" w:sz="8" w:space="0" w:color="auto"/>
            </w:tcBorders>
            <w:vAlign w:val="bottom"/>
          </w:tcPr>
          <w:p w14:paraId="029F0666" w14:textId="77777777" w:rsidR="001912EB" w:rsidRDefault="001912EB" w:rsidP="002A4511">
            <w:pPr>
              <w:spacing w:line="213" w:lineRule="exact"/>
              <w:ind w:left="80"/>
              <w:rPr>
                <w:sz w:val="20"/>
                <w:szCs w:val="20"/>
              </w:rPr>
            </w:pPr>
            <w:r>
              <w:rPr>
                <w:rFonts w:eastAsia="Times New Roman"/>
              </w:rPr>
              <w:t>2 kartus per parą</w:t>
            </w:r>
          </w:p>
        </w:tc>
        <w:tc>
          <w:tcPr>
            <w:tcW w:w="1440" w:type="dxa"/>
            <w:tcBorders>
              <w:right w:val="single" w:sz="8" w:space="0" w:color="auto"/>
            </w:tcBorders>
            <w:vAlign w:val="bottom"/>
          </w:tcPr>
          <w:p w14:paraId="29C52164" w14:textId="77777777" w:rsidR="001912EB" w:rsidRDefault="001912EB" w:rsidP="002A4511">
            <w:pPr>
              <w:spacing w:line="213" w:lineRule="exact"/>
              <w:ind w:left="80"/>
              <w:rPr>
                <w:sz w:val="20"/>
                <w:szCs w:val="20"/>
              </w:rPr>
            </w:pPr>
            <w:r>
              <w:rPr>
                <w:rFonts w:eastAsia="Times New Roman"/>
              </w:rPr>
              <w:t>1000 mg/parą</w:t>
            </w:r>
          </w:p>
        </w:tc>
      </w:tr>
      <w:tr w:rsidR="001912EB" w14:paraId="3C1899EE" w14:textId="77777777" w:rsidTr="002A4511">
        <w:trPr>
          <w:trHeight w:val="282"/>
        </w:trPr>
        <w:tc>
          <w:tcPr>
            <w:tcW w:w="1080" w:type="dxa"/>
            <w:tcBorders>
              <w:left w:val="single" w:sz="8" w:space="0" w:color="auto"/>
              <w:bottom w:val="single" w:sz="8" w:space="0" w:color="auto"/>
              <w:right w:val="single" w:sz="8" w:space="0" w:color="auto"/>
            </w:tcBorders>
            <w:vAlign w:val="bottom"/>
          </w:tcPr>
          <w:p w14:paraId="07F2FA00" w14:textId="77777777" w:rsidR="001912EB" w:rsidRDefault="001912EB" w:rsidP="002A4511">
            <w:pPr>
              <w:rPr>
                <w:sz w:val="24"/>
                <w:szCs w:val="24"/>
              </w:rPr>
            </w:pPr>
          </w:p>
        </w:tc>
        <w:tc>
          <w:tcPr>
            <w:tcW w:w="2440" w:type="dxa"/>
            <w:tcBorders>
              <w:bottom w:val="single" w:sz="8" w:space="0" w:color="auto"/>
              <w:right w:val="single" w:sz="8" w:space="0" w:color="auto"/>
            </w:tcBorders>
            <w:vAlign w:val="bottom"/>
          </w:tcPr>
          <w:p w14:paraId="0F6D8FD2" w14:textId="77777777" w:rsidR="001912EB" w:rsidRDefault="001912EB" w:rsidP="002A4511">
            <w:pPr>
              <w:ind w:left="100"/>
              <w:rPr>
                <w:sz w:val="20"/>
                <w:szCs w:val="20"/>
              </w:rPr>
            </w:pPr>
            <w:r>
              <w:rPr>
                <w:rFonts w:eastAsia="Times New Roman"/>
              </w:rPr>
              <w:t>flakonas)</w:t>
            </w:r>
          </w:p>
        </w:tc>
        <w:tc>
          <w:tcPr>
            <w:tcW w:w="1260" w:type="dxa"/>
            <w:tcBorders>
              <w:bottom w:val="single" w:sz="8" w:space="0" w:color="auto"/>
              <w:right w:val="single" w:sz="8" w:space="0" w:color="auto"/>
            </w:tcBorders>
            <w:vAlign w:val="bottom"/>
          </w:tcPr>
          <w:p w14:paraId="79331924" w14:textId="77777777" w:rsidR="001912EB" w:rsidRDefault="001912EB" w:rsidP="002A4511">
            <w:pPr>
              <w:rPr>
                <w:sz w:val="24"/>
                <w:szCs w:val="24"/>
              </w:rPr>
            </w:pPr>
          </w:p>
        </w:tc>
        <w:tc>
          <w:tcPr>
            <w:tcW w:w="1260" w:type="dxa"/>
            <w:tcBorders>
              <w:bottom w:val="single" w:sz="8" w:space="0" w:color="auto"/>
              <w:right w:val="single" w:sz="8" w:space="0" w:color="auto"/>
            </w:tcBorders>
            <w:vAlign w:val="bottom"/>
          </w:tcPr>
          <w:p w14:paraId="38588093" w14:textId="77777777" w:rsidR="001912EB" w:rsidRDefault="001912EB" w:rsidP="002A4511">
            <w:pPr>
              <w:rPr>
                <w:sz w:val="24"/>
                <w:szCs w:val="24"/>
              </w:rPr>
            </w:pPr>
          </w:p>
        </w:tc>
        <w:tc>
          <w:tcPr>
            <w:tcW w:w="1800" w:type="dxa"/>
            <w:tcBorders>
              <w:bottom w:val="single" w:sz="8" w:space="0" w:color="auto"/>
              <w:right w:val="single" w:sz="8" w:space="0" w:color="auto"/>
            </w:tcBorders>
            <w:vAlign w:val="bottom"/>
          </w:tcPr>
          <w:p w14:paraId="3649630A" w14:textId="77777777" w:rsidR="001912EB" w:rsidRDefault="001912EB" w:rsidP="002A4511">
            <w:pPr>
              <w:rPr>
                <w:sz w:val="24"/>
                <w:szCs w:val="24"/>
              </w:rPr>
            </w:pPr>
          </w:p>
        </w:tc>
        <w:tc>
          <w:tcPr>
            <w:tcW w:w="1440" w:type="dxa"/>
            <w:tcBorders>
              <w:bottom w:val="single" w:sz="8" w:space="0" w:color="auto"/>
              <w:right w:val="single" w:sz="8" w:space="0" w:color="auto"/>
            </w:tcBorders>
            <w:vAlign w:val="bottom"/>
          </w:tcPr>
          <w:p w14:paraId="38695618" w14:textId="77777777" w:rsidR="001912EB" w:rsidRDefault="001912EB" w:rsidP="002A4511">
            <w:pPr>
              <w:rPr>
                <w:sz w:val="24"/>
                <w:szCs w:val="24"/>
              </w:rPr>
            </w:pPr>
          </w:p>
        </w:tc>
      </w:tr>
      <w:tr w:rsidR="001912EB" w14:paraId="0874CB5D" w14:textId="77777777" w:rsidTr="002A4511">
        <w:trPr>
          <w:trHeight w:val="244"/>
        </w:trPr>
        <w:tc>
          <w:tcPr>
            <w:tcW w:w="1080" w:type="dxa"/>
            <w:tcBorders>
              <w:left w:val="single" w:sz="8" w:space="0" w:color="auto"/>
              <w:bottom w:val="single" w:sz="8" w:space="0" w:color="auto"/>
              <w:right w:val="single" w:sz="8" w:space="0" w:color="auto"/>
            </w:tcBorders>
            <w:vAlign w:val="bottom"/>
          </w:tcPr>
          <w:p w14:paraId="16D616AE" w14:textId="77777777" w:rsidR="001912EB" w:rsidRDefault="001912EB" w:rsidP="002A4511">
            <w:pPr>
              <w:spacing w:line="244" w:lineRule="exact"/>
              <w:ind w:left="120"/>
              <w:rPr>
                <w:sz w:val="20"/>
                <w:szCs w:val="20"/>
              </w:rPr>
            </w:pPr>
            <w:r>
              <w:rPr>
                <w:rFonts w:eastAsia="Times New Roman"/>
              </w:rPr>
              <w:t>1000 mg</w:t>
            </w:r>
          </w:p>
        </w:tc>
        <w:tc>
          <w:tcPr>
            <w:tcW w:w="2440" w:type="dxa"/>
            <w:tcBorders>
              <w:bottom w:val="single" w:sz="8" w:space="0" w:color="auto"/>
              <w:right w:val="single" w:sz="8" w:space="0" w:color="auto"/>
            </w:tcBorders>
            <w:vAlign w:val="bottom"/>
          </w:tcPr>
          <w:p w14:paraId="2E30D52C" w14:textId="77777777" w:rsidR="001912EB" w:rsidRDefault="001912EB" w:rsidP="002A4511">
            <w:pPr>
              <w:spacing w:line="244" w:lineRule="exact"/>
              <w:ind w:left="100"/>
              <w:rPr>
                <w:sz w:val="20"/>
                <w:szCs w:val="20"/>
              </w:rPr>
            </w:pPr>
            <w:r>
              <w:rPr>
                <w:rFonts w:eastAsia="Times New Roman"/>
              </w:rPr>
              <w:t>10 ml (du 5 ml flakonai)</w:t>
            </w:r>
          </w:p>
        </w:tc>
        <w:tc>
          <w:tcPr>
            <w:tcW w:w="1260" w:type="dxa"/>
            <w:tcBorders>
              <w:bottom w:val="single" w:sz="8" w:space="0" w:color="auto"/>
              <w:right w:val="single" w:sz="8" w:space="0" w:color="auto"/>
            </w:tcBorders>
            <w:vAlign w:val="bottom"/>
          </w:tcPr>
          <w:p w14:paraId="226EC929" w14:textId="77777777" w:rsidR="001912EB" w:rsidRDefault="001912EB" w:rsidP="002A4511">
            <w:pPr>
              <w:spacing w:line="244" w:lineRule="exact"/>
              <w:ind w:left="80"/>
              <w:rPr>
                <w:sz w:val="20"/>
                <w:szCs w:val="20"/>
              </w:rPr>
            </w:pPr>
            <w:r>
              <w:rPr>
                <w:rFonts w:eastAsia="Times New Roman"/>
              </w:rPr>
              <w:t>100 ml</w:t>
            </w:r>
          </w:p>
        </w:tc>
        <w:tc>
          <w:tcPr>
            <w:tcW w:w="1260" w:type="dxa"/>
            <w:tcBorders>
              <w:bottom w:val="single" w:sz="8" w:space="0" w:color="auto"/>
              <w:right w:val="single" w:sz="8" w:space="0" w:color="auto"/>
            </w:tcBorders>
            <w:vAlign w:val="bottom"/>
          </w:tcPr>
          <w:p w14:paraId="0F27EB03" w14:textId="77777777" w:rsidR="001912EB" w:rsidRDefault="001912EB" w:rsidP="002A4511">
            <w:pPr>
              <w:spacing w:line="244" w:lineRule="exact"/>
              <w:ind w:left="80"/>
              <w:rPr>
                <w:sz w:val="20"/>
                <w:szCs w:val="20"/>
              </w:rPr>
            </w:pPr>
            <w:r>
              <w:rPr>
                <w:rFonts w:eastAsia="Times New Roman"/>
              </w:rPr>
              <w:t>15 minučių</w:t>
            </w:r>
          </w:p>
        </w:tc>
        <w:tc>
          <w:tcPr>
            <w:tcW w:w="1800" w:type="dxa"/>
            <w:tcBorders>
              <w:bottom w:val="single" w:sz="8" w:space="0" w:color="auto"/>
              <w:right w:val="single" w:sz="8" w:space="0" w:color="auto"/>
            </w:tcBorders>
            <w:vAlign w:val="bottom"/>
          </w:tcPr>
          <w:p w14:paraId="096F7FA6" w14:textId="77777777" w:rsidR="001912EB" w:rsidRDefault="001912EB" w:rsidP="002A4511">
            <w:pPr>
              <w:spacing w:line="244" w:lineRule="exact"/>
              <w:ind w:left="80"/>
              <w:rPr>
                <w:sz w:val="20"/>
                <w:szCs w:val="20"/>
              </w:rPr>
            </w:pPr>
            <w:r>
              <w:rPr>
                <w:rFonts w:eastAsia="Times New Roman"/>
              </w:rPr>
              <w:t>2 kartus per parą</w:t>
            </w:r>
          </w:p>
        </w:tc>
        <w:tc>
          <w:tcPr>
            <w:tcW w:w="1440" w:type="dxa"/>
            <w:tcBorders>
              <w:bottom w:val="single" w:sz="8" w:space="0" w:color="auto"/>
              <w:right w:val="single" w:sz="8" w:space="0" w:color="auto"/>
            </w:tcBorders>
            <w:vAlign w:val="bottom"/>
          </w:tcPr>
          <w:p w14:paraId="1580C791" w14:textId="77777777" w:rsidR="001912EB" w:rsidRDefault="001912EB" w:rsidP="002A4511">
            <w:pPr>
              <w:spacing w:line="244" w:lineRule="exact"/>
              <w:ind w:left="80"/>
              <w:rPr>
                <w:sz w:val="20"/>
                <w:szCs w:val="20"/>
              </w:rPr>
            </w:pPr>
            <w:r>
              <w:rPr>
                <w:rFonts w:eastAsia="Times New Roman"/>
              </w:rPr>
              <w:t>2000 mg/parą</w:t>
            </w:r>
          </w:p>
        </w:tc>
      </w:tr>
      <w:tr w:rsidR="001912EB" w14:paraId="23078AEC" w14:textId="77777777" w:rsidTr="002A4511">
        <w:trPr>
          <w:trHeight w:val="214"/>
        </w:trPr>
        <w:tc>
          <w:tcPr>
            <w:tcW w:w="1080" w:type="dxa"/>
            <w:tcBorders>
              <w:left w:val="single" w:sz="8" w:space="0" w:color="auto"/>
              <w:right w:val="single" w:sz="8" w:space="0" w:color="auto"/>
            </w:tcBorders>
            <w:vAlign w:val="bottom"/>
          </w:tcPr>
          <w:p w14:paraId="03AA5F6B" w14:textId="77777777" w:rsidR="001912EB" w:rsidRDefault="001912EB" w:rsidP="002A4511">
            <w:pPr>
              <w:spacing w:line="213" w:lineRule="exact"/>
              <w:ind w:left="120"/>
              <w:rPr>
                <w:sz w:val="20"/>
                <w:szCs w:val="20"/>
              </w:rPr>
            </w:pPr>
            <w:r>
              <w:rPr>
                <w:rFonts w:eastAsia="Times New Roman"/>
              </w:rPr>
              <w:t>1500 mg</w:t>
            </w:r>
          </w:p>
        </w:tc>
        <w:tc>
          <w:tcPr>
            <w:tcW w:w="2440" w:type="dxa"/>
            <w:tcBorders>
              <w:right w:val="single" w:sz="8" w:space="0" w:color="auto"/>
            </w:tcBorders>
            <w:vAlign w:val="bottom"/>
          </w:tcPr>
          <w:p w14:paraId="3A1B3AED" w14:textId="77777777" w:rsidR="001912EB" w:rsidRDefault="001912EB" w:rsidP="002A4511">
            <w:pPr>
              <w:spacing w:line="213" w:lineRule="exact"/>
              <w:ind w:left="100"/>
              <w:rPr>
                <w:sz w:val="20"/>
                <w:szCs w:val="20"/>
              </w:rPr>
            </w:pPr>
            <w:r>
              <w:rPr>
                <w:rFonts w:eastAsia="Times New Roman"/>
              </w:rPr>
              <w:t>15 ml (trys 5 ml</w:t>
            </w:r>
          </w:p>
        </w:tc>
        <w:tc>
          <w:tcPr>
            <w:tcW w:w="1260" w:type="dxa"/>
            <w:tcBorders>
              <w:right w:val="single" w:sz="8" w:space="0" w:color="auto"/>
            </w:tcBorders>
            <w:vAlign w:val="bottom"/>
          </w:tcPr>
          <w:p w14:paraId="41B072A2" w14:textId="77777777" w:rsidR="001912EB" w:rsidRDefault="001912EB" w:rsidP="002A4511">
            <w:pPr>
              <w:spacing w:line="213" w:lineRule="exact"/>
              <w:ind w:left="80"/>
              <w:rPr>
                <w:sz w:val="20"/>
                <w:szCs w:val="20"/>
              </w:rPr>
            </w:pPr>
            <w:r>
              <w:rPr>
                <w:rFonts w:eastAsia="Times New Roman"/>
              </w:rPr>
              <w:t>100 ml</w:t>
            </w:r>
          </w:p>
        </w:tc>
        <w:tc>
          <w:tcPr>
            <w:tcW w:w="1260" w:type="dxa"/>
            <w:tcBorders>
              <w:right w:val="single" w:sz="8" w:space="0" w:color="auto"/>
            </w:tcBorders>
            <w:vAlign w:val="bottom"/>
          </w:tcPr>
          <w:p w14:paraId="292A9735" w14:textId="77777777" w:rsidR="001912EB" w:rsidRDefault="001912EB" w:rsidP="002A4511">
            <w:pPr>
              <w:spacing w:line="213" w:lineRule="exact"/>
              <w:ind w:left="80"/>
              <w:rPr>
                <w:sz w:val="20"/>
                <w:szCs w:val="20"/>
              </w:rPr>
            </w:pPr>
            <w:r>
              <w:rPr>
                <w:rFonts w:eastAsia="Times New Roman"/>
              </w:rPr>
              <w:t>15 minučių</w:t>
            </w:r>
          </w:p>
        </w:tc>
        <w:tc>
          <w:tcPr>
            <w:tcW w:w="1800" w:type="dxa"/>
            <w:tcBorders>
              <w:right w:val="single" w:sz="8" w:space="0" w:color="auto"/>
            </w:tcBorders>
            <w:vAlign w:val="bottom"/>
          </w:tcPr>
          <w:p w14:paraId="61F78460" w14:textId="77777777" w:rsidR="001912EB" w:rsidRDefault="001912EB" w:rsidP="002A4511">
            <w:pPr>
              <w:spacing w:line="213" w:lineRule="exact"/>
              <w:ind w:left="80"/>
              <w:rPr>
                <w:sz w:val="20"/>
                <w:szCs w:val="20"/>
              </w:rPr>
            </w:pPr>
            <w:r>
              <w:rPr>
                <w:rFonts w:eastAsia="Times New Roman"/>
              </w:rPr>
              <w:t>2 kartus per parą</w:t>
            </w:r>
          </w:p>
        </w:tc>
        <w:tc>
          <w:tcPr>
            <w:tcW w:w="1440" w:type="dxa"/>
            <w:tcBorders>
              <w:right w:val="single" w:sz="8" w:space="0" w:color="auto"/>
            </w:tcBorders>
            <w:vAlign w:val="bottom"/>
          </w:tcPr>
          <w:p w14:paraId="6F9E3296" w14:textId="77777777" w:rsidR="001912EB" w:rsidRDefault="001912EB" w:rsidP="002A4511">
            <w:pPr>
              <w:spacing w:line="213" w:lineRule="exact"/>
              <w:ind w:left="80"/>
              <w:rPr>
                <w:sz w:val="20"/>
                <w:szCs w:val="20"/>
              </w:rPr>
            </w:pPr>
            <w:r>
              <w:rPr>
                <w:rFonts w:eastAsia="Times New Roman"/>
              </w:rPr>
              <w:t>3000 mg/parą</w:t>
            </w:r>
          </w:p>
        </w:tc>
      </w:tr>
      <w:tr w:rsidR="001912EB" w14:paraId="1BA9AF5B" w14:textId="77777777" w:rsidTr="002A4511">
        <w:trPr>
          <w:trHeight w:val="282"/>
        </w:trPr>
        <w:tc>
          <w:tcPr>
            <w:tcW w:w="1080" w:type="dxa"/>
            <w:tcBorders>
              <w:left w:val="single" w:sz="8" w:space="0" w:color="auto"/>
              <w:bottom w:val="single" w:sz="8" w:space="0" w:color="auto"/>
              <w:right w:val="single" w:sz="8" w:space="0" w:color="auto"/>
            </w:tcBorders>
            <w:vAlign w:val="bottom"/>
          </w:tcPr>
          <w:p w14:paraId="73693EE5" w14:textId="77777777" w:rsidR="001912EB" w:rsidRDefault="001912EB" w:rsidP="002A4511">
            <w:pPr>
              <w:rPr>
                <w:sz w:val="24"/>
                <w:szCs w:val="24"/>
              </w:rPr>
            </w:pPr>
          </w:p>
        </w:tc>
        <w:tc>
          <w:tcPr>
            <w:tcW w:w="2440" w:type="dxa"/>
            <w:tcBorders>
              <w:bottom w:val="single" w:sz="8" w:space="0" w:color="auto"/>
              <w:right w:val="single" w:sz="8" w:space="0" w:color="auto"/>
            </w:tcBorders>
            <w:vAlign w:val="bottom"/>
          </w:tcPr>
          <w:p w14:paraId="279EDC1E" w14:textId="77777777" w:rsidR="001912EB" w:rsidRDefault="001912EB" w:rsidP="002A4511">
            <w:pPr>
              <w:ind w:left="100"/>
              <w:rPr>
                <w:sz w:val="20"/>
                <w:szCs w:val="20"/>
              </w:rPr>
            </w:pPr>
            <w:r>
              <w:rPr>
                <w:rFonts w:eastAsia="Times New Roman"/>
              </w:rPr>
              <w:t>flakonai)</w:t>
            </w:r>
          </w:p>
        </w:tc>
        <w:tc>
          <w:tcPr>
            <w:tcW w:w="1260" w:type="dxa"/>
            <w:tcBorders>
              <w:bottom w:val="single" w:sz="8" w:space="0" w:color="auto"/>
              <w:right w:val="single" w:sz="8" w:space="0" w:color="auto"/>
            </w:tcBorders>
            <w:vAlign w:val="bottom"/>
          </w:tcPr>
          <w:p w14:paraId="146F275E" w14:textId="77777777" w:rsidR="001912EB" w:rsidRDefault="001912EB" w:rsidP="002A4511">
            <w:pPr>
              <w:rPr>
                <w:sz w:val="24"/>
                <w:szCs w:val="24"/>
              </w:rPr>
            </w:pPr>
          </w:p>
        </w:tc>
        <w:tc>
          <w:tcPr>
            <w:tcW w:w="1260" w:type="dxa"/>
            <w:tcBorders>
              <w:bottom w:val="single" w:sz="8" w:space="0" w:color="auto"/>
              <w:right w:val="single" w:sz="8" w:space="0" w:color="auto"/>
            </w:tcBorders>
            <w:vAlign w:val="bottom"/>
          </w:tcPr>
          <w:p w14:paraId="07460B08" w14:textId="77777777" w:rsidR="001912EB" w:rsidRDefault="001912EB" w:rsidP="002A4511">
            <w:pPr>
              <w:rPr>
                <w:sz w:val="24"/>
                <w:szCs w:val="24"/>
              </w:rPr>
            </w:pPr>
          </w:p>
        </w:tc>
        <w:tc>
          <w:tcPr>
            <w:tcW w:w="1800" w:type="dxa"/>
            <w:tcBorders>
              <w:bottom w:val="single" w:sz="8" w:space="0" w:color="auto"/>
              <w:right w:val="single" w:sz="8" w:space="0" w:color="auto"/>
            </w:tcBorders>
            <w:vAlign w:val="bottom"/>
          </w:tcPr>
          <w:p w14:paraId="2521E921" w14:textId="77777777" w:rsidR="001912EB" w:rsidRDefault="001912EB" w:rsidP="002A4511">
            <w:pPr>
              <w:rPr>
                <w:sz w:val="24"/>
                <w:szCs w:val="24"/>
              </w:rPr>
            </w:pPr>
          </w:p>
        </w:tc>
        <w:tc>
          <w:tcPr>
            <w:tcW w:w="1440" w:type="dxa"/>
            <w:tcBorders>
              <w:bottom w:val="single" w:sz="8" w:space="0" w:color="auto"/>
              <w:right w:val="single" w:sz="8" w:space="0" w:color="auto"/>
            </w:tcBorders>
            <w:vAlign w:val="bottom"/>
          </w:tcPr>
          <w:p w14:paraId="20F96BCF" w14:textId="77777777" w:rsidR="001912EB" w:rsidRDefault="001912EB" w:rsidP="002A4511">
            <w:pPr>
              <w:rPr>
                <w:sz w:val="24"/>
                <w:szCs w:val="24"/>
              </w:rPr>
            </w:pPr>
          </w:p>
        </w:tc>
      </w:tr>
    </w:tbl>
    <w:p w14:paraId="57B8F0A7" w14:textId="77777777" w:rsidR="001912EB" w:rsidRDefault="001912EB" w:rsidP="001912EB">
      <w:pPr>
        <w:spacing w:line="224" w:lineRule="exact"/>
        <w:rPr>
          <w:sz w:val="20"/>
          <w:szCs w:val="20"/>
        </w:rPr>
      </w:pPr>
    </w:p>
    <w:p w14:paraId="6CF51227" w14:textId="77777777" w:rsidR="001912EB" w:rsidRDefault="001912EB" w:rsidP="001912EB">
      <w:pPr>
        <w:ind w:left="80"/>
        <w:rPr>
          <w:sz w:val="20"/>
          <w:szCs w:val="20"/>
        </w:rPr>
      </w:pPr>
      <w:r>
        <w:rPr>
          <w:rFonts w:eastAsia="Times New Roman"/>
        </w:rPr>
        <w:t>Šis preparatas skirtas vienkartiniam vartojimui, nesuvartotą kiekį reikia sunaikinti.</w:t>
      </w:r>
    </w:p>
    <w:p w14:paraId="10C65A0E" w14:textId="77777777" w:rsidR="001912EB" w:rsidRDefault="001912EB" w:rsidP="001912EB">
      <w:pPr>
        <w:spacing w:line="251" w:lineRule="exact"/>
        <w:rPr>
          <w:sz w:val="20"/>
          <w:szCs w:val="20"/>
        </w:rPr>
      </w:pPr>
    </w:p>
    <w:p w14:paraId="2479968A" w14:textId="77777777" w:rsidR="001912EB" w:rsidRDefault="001912EB" w:rsidP="001912EB">
      <w:pPr>
        <w:spacing w:line="254" w:lineRule="auto"/>
        <w:ind w:left="80" w:right="200"/>
        <w:rPr>
          <w:sz w:val="20"/>
          <w:szCs w:val="20"/>
        </w:rPr>
      </w:pPr>
      <w:r>
        <w:rPr>
          <w:rFonts w:eastAsia="Times New Roman"/>
        </w:rPr>
        <w:t xml:space="preserve">Tinkamumo laikas atskiedus: mikrobiologiniu požiūriu atskiestas vaistas turi būti vartojamas nedelsiant. Nesuvartojus iš karto, už vaisto laikymo laiką ir sąlygas atsako vartotojas; </w:t>
      </w:r>
      <w:r>
        <w:rPr>
          <w:rFonts w:eastAsia="Times New Roman"/>
          <w:u w:val="single"/>
        </w:rPr>
        <w:t>atskiesto vaisto</w:t>
      </w:r>
      <w:r>
        <w:rPr>
          <w:rFonts w:eastAsia="Times New Roman"/>
        </w:rPr>
        <w:t>, esant kontroliuojamoms ir patikimoms aseptinėms sąlygoms, 2-8º C temperatūrai, negalima laikyti ilgiau kaip 24 val.</w:t>
      </w:r>
    </w:p>
    <w:p w14:paraId="67910299" w14:textId="77777777" w:rsidR="001912EB" w:rsidRDefault="001912EB" w:rsidP="001912EB">
      <w:pPr>
        <w:spacing w:line="194" w:lineRule="exact"/>
        <w:rPr>
          <w:sz w:val="20"/>
          <w:szCs w:val="20"/>
        </w:rPr>
      </w:pPr>
    </w:p>
    <w:p w14:paraId="411D98F3" w14:textId="77777777" w:rsidR="001912EB" w:rsidRDefault="001912EB" w:rsidP="001912EB">
      <w:pPr>
        <w:ind w:left="80" w:right="520"/>
        <w:rPr>
          <w:sz w:val="20"/>
          <w:szCs w:val="20"/>
        </w:rPr>
      </w:pPr>
      <w:r>
        <w:rPr>
          <w:rFonts w:eastAsia="Times New Roman"/>
        </w:rPr>
        <w:t>Nustatyta, kad Keppra koncentratas yra fizinėmis savybėmis suderinamas ir chemiškai stabilus mažiausiai 24 val., kai sumaišomas su žemiau išvardytas skiedikliais ir laikomas PVC maišeliuose kontroliuojamoje kambario 15-25º C temperatūroje.</w:t>
      </w:r>
    </w:p>
    <w:p w14:paraId="2781754D" w14:textId="77777777" w:rsidR="001912EB" w:rsidRDefault="001912EB" w:rsidP="001912EB">
      <w:pPr>
        <w:spacing w:line="237" w:lineRule="auto"/>
        <w:ind w:left="80"/>
        <w:rPr>
          <w:sz w:val="20"/>
          <w:szCs w:val="20"/>
        </w:rPr>
      </w:pPr>
      <w:r>
        <w:rPr>
          <w:rFonts w:eastAsia="Times New Roman"/>
        </w:rPr>
        <w:t>Skiedikliai:</w:t>
      </w:r>
    </w:p>
    <w:p w14:paraId="2C7DC857" w14:textId="77777777" w:rsidR="001912EB" w:rsidRDefault="001912EB" w:rsidP="001912EB">
      <w:pPr>
        <w:spacing w:line="4" w:lineRule="exact"/>
        <w:rPr>
          <w:sz w:val="20"/>
          <w:szCs w:val="20"/>
        </w:rPr>
      </w:pPr>
    </w:p>
    <w:p w14:paraId="707B8260" w14:textId="77777777" w:rsidR="001912EB" w:rsidRDefault="001912EB" w:rsidP="001912EB">
      <w:pPr>
        <w:numPr>
          <w:ilvl w:val="0"/>
          <w:numId w:val="10"/>
        </w:numPr>
        <w:tabs>
          <w:tab w:val="left" w:pos="640"/>
        </w:tabs>
        <w:ind w:left="640" w:hanging="561"/>
        <w:rPr>
          <w:rFonts w:eastAsia="Times New Roman"/>
          <w:sz w:val="24"/>
          <w:szCs w:val="24"/>
        </w:rPr>
      </w:pPr>
      <w:r>
        <w:rPr>
          <w:rFonts w:eastAsia="Times New Roman"/>
        </w:rPr>
        <w:t>9 mg/ml (0,9%) natrio chlorido injekcinis tirpalas</w:t>
      </w:r>
    </w:p>
    <w:p w14:paraId="4D4595BC" w14:textId="77777777" w:rsidR="001912EB" w:rsidRDefault="001912EB" w:rsidP="001912EB">
      <w:pPr>
        <w:numPr>
          <w:ilvl w:val="0"/>
          <w:numId w:val="10"/>
        </w:numPr>
        <w:tabs>
          <w:tab w:val="left" w:pos="640"/>
        </w:tabs>
        <w:ind w:left="640" w:hanging="561"/>
        <w:rPr>
          <w:rFonts w:eastAsia="Times New Roman"/>
        </w:rPr>
      </w:pPr>
      <w:r>
        <w:rPr>
          <w:rFonts w:eastAsia="Times New Roman"/>
        </w:rPr>
        <w:t>Ringerio laktato injekcinis tirpalas</w:t>
      </w:r>
    </w:p>
    <w:p w14:paraId="018E26B1" w14:textId="77777777" w:rsidR="001912EB" w:rsidRDefault="001912EB" w:rsidP="001912EB">
      <w:pPr>
        <w:numPr>
          <w:ilvl w:val="0"/>
          <w:numId w:val="10"/>
        </w:numPr>
        <w:tabs>
          <w:tab w:val="left" w:pos="640"/>
        </w:tabs>
        <w:ind w:left="640" w:hanging="561"/>
        <w:rPr>
          <w:rFonts w:eastAsia="Times New Roman"/>
        </w:rPr>
      </w:pPr>
      <w:r>
        <w:rPr>
          <w:rFonts w:eastAsia="Times New Roman"/>
        </w:rPr>
        <w:t>50 mg/ml (5%) gliukozės injekcinis tirpalas</w:t>
      </w:r>
    </w:p>
    <w:p w14:paraId="31344394" w14:textId="77777777" w:rsidR="00290CFA" w:rsidRDefault="00290CFA"/>
    <w:sectPr w:rsidR="00290CF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F53B"/>
    <w:multiLevelType w:val="hybridMultilevel"/>
    <w:tmpl w:val="ECBEEAC6"/>
    <w:lvl w:ilvl="0" w:tplc="6380C1E4">
      <w:start w:val="1"/>
      <w:numFmt w:val="bullet"/>
      <w:lvlText w:val=" "/>
      <w:lvlJc w:val="left"/>
    </w:lvl>
    <w:lvl w:ilvl="1" w:tplc="EEE2061C">
      <w:start w:val="1"/>
      <w:numFmt w:val="bullet"/>
      <w:lvlText w:val=""/>
      <w:lvlJc w:val="left"/>
    </w:lvl>
    <w:lvl w:ilvl="2" w:tplc="E3C472A6">
      <w:numFmt w:val="decimal"/>
      <w:lvlText w:val=""/>
      <w:lvlJc w:val="left"/>
    </w:lvl>
    <w:lvl w:ilvl="3" w:tplc="ECCCFF06">
      <w:numFmt w:val="decimal"/>
      <w:lvlText w:val=""/>
      <w:lvlJc w:val="left"/>
    </w:lvl>
    <w:lvl w:ilvl="4" w:tplc="505A025E">
      <w:numFmt w:val="decimal"/>
      <w:lvlText w:val=""/>
      <w:lvlJc w:val="left"/>
    </w:lvl>
    <w:lvl w:ilvl="5" w:tplc="13C24D1E">
      <w:numFmt w:val="decimal"/>
      <w:lvlText w:val=""/>
      <w:lvlJc w:val="left"/>
    </w:lvl>
    <w:lvl w:ilvl="6" w:tplc="ED78BD20">
      <w:numFmt w:val="decimal"/>
      <w:lvlText w:val=""/>
      <w:lvlJc w:val="left"/>
    </w:lvl>
    <w:lvl w:ilvl="7" w:tplc="09DE036C">
      <w:numFmt w:val="decimal"/>
      <w:lvlText w:val=""/>
      <w:lvlJc w:val="left"/>
    </w:lvl>
    <w:lvl w:ilvl="8" w:tplc="AFB2D680">
      <w:numFmt w:val="decimal"/>
      <w:lvlText w:val=""/>
      <w:lvlJc w:val="left"/>
    </w:lvl>
  </w:abstractNum>
  <w:abstractNum w:abstractNumId="1" w15:restartNumberingAfterBreak="0">
    <w:nsid w:val="0ACDFAC0"/>
    <w:multiLevelType w:val="hybridMultilevel"/>
    <w:tmpl w:val="81FE8F60"/>
    <w:lvl w:ilvl="0" w:tplc="BE428586">
      <w:start w:val="2"/>
      <w:numFmt w:val="decimal"/>
      <w:lvlText w:val="%1."/>
      <w:lvlJc w:val="left"/>
    </w:lvl>
    <w:lvl w:ilvl="1" w:tplc="0B02C014">
      <w:numFmt w:val="decimal"/>
      <w:lvlText w:val=""/>
      <w:lvlJc w:val="left"/>
    </w:lvl>
    <w:lvl w:ilvl="2" w:tplc="6F823502">
      <w:numFmt w:val="decimal"/>
      <w:lvlText w:val=""/>
      <w:lvlJc w:val="left"/>
    </w:lvl>
    <w:lvl w:ilvl="3" w:tplc="E4F655FC">
      <w:numFmt w:val="decimal"/>
      <w:lvlText w:val=""/>
      <w:lvlJc w:val="left"/>
    </w:lvl>
    <w:lvl w:ilvl="4" w:tplc="2BA01156">
      <w:numFmt w:val="decimal"/>
      <w:lvlText w:val=""/>
      <w:lvlJc w:val="left"/>
    </w:lvl>
    <w:lvl w:ilvl="5" w:tplc="7AD4A800">
      <w:numFmt w:val="decimal"/>
      <w:lvlText w:val=""/>
      <w:lvlJc w:val="left"/>
    </w:lvl>
    <w:lvl w:ilvl="6" w:tplc="B77226C4">
      <w:numFmt w:val="decimal"/>
      <w:lvlText w:val=""/>
      <w:lvlJc w:val="left"/>
    </w:lvl>
    <w:lvl w:ilvl="7" w:tplc="796ECBB6">
      <w:numFmt w:val="decimal"/>
      <w:lvlText w:val=""/>
      <w:lvlJc w:val="left"/>
    </w:lvl>
    <w:lvl w:ilvl="8" w:tplc="AFCC928A">
      <w:numFmt w:val="decimal"/>
      <w:lvlText w:val=""/>
      <w:lvlJc w:val="left"/>
    </w:lvl>
  </w:abstractNum>
  <w:abstractNum w:abstractNumId="2" w15:restartNumberingAfterBreak="0">
    <w:nsid w:val="0C56F860"/>
    <w:multiLevelType w:val="hybridMultilevel"/>
    <w:tmpl w:val="1C6C9F26"/>
    <w:lvl w:ilvl="0" w:tplc="04325BA0">
      <w:start w:val="6"/>
      <w:numFmt w:val="decimal"/>
      <w:lvlText w:val="%1."/>
      <w:lvlJc w:val="left"/>
    </w:lvl>
    <w:lvl w:ilvl="1" w:tplc="7D22FCA4">
      <w:numFmt w:val="decimal"/>
      <w:lvlText w:val=""/>
      <w:lvlJc w:val="left"/>
    </w:lvl>
    <w:lvl w:ilvl="2" w:tplc="E4508C9E">
      <w:numFmt w:val="decimal"/>
      <w:lvlText w:val=""/>
      <w:lvlJc w:val="left"/>
    </w:lvl>
    <w:lvl w:ilvl="3" w:tplc="31BECFD4">
      <w:numFmt w:val="decimal"/>
      <w:lvlText w:val=""/>
      <w:lvlJc w:val="left"/>
    </w:lvl>
    <w:lvl w:ilvl="4" w:tplc="A1363120">
      <w:numFmt w:val="decimal"/>
      <w:lvlText w:val=""/>
      <w:lvlJc w:val="left"/>
    </w:lvl>
    <w:lvl w:ilvl="5" w:tplc="0422E430">
      <w:numFmt w:val="decimal"/>
      <w:lvlText w:val=""/>
      <w:lvlJc w:val="left"/>
    </w:lvl>
    <w:lvl w:ilvl="6" w:tplc="AAC4C1C6">
      <w:numFmt w:val="decimal"/>
      <w:lvlText w:val=""/>
      <w:lvlJc w:val="left"/>
    </w:lvl>
    <w:lvl w:ilvl="7" w:tplc="76E21C98">
      <w:numFmt w:val="decimal"/>
      <w:lvlText w:val=""/>
      <w:lvlJc w:val="left"/>
    </w:lvl>
    <w:lvl w:ilvl="8" w:tplc="3F924F6C">
      <w:numFmt w:val="decimal"/>
      <w:lvlText w:val=""/>
      <w:lvlJc w:val="left"/>
    </w:lvl>
  </w:abstractNum>
  <w:abstractNum w:abstractNumId="3" w15:restartNumberingAfterBreak="0">
    <w:nsid w:val="154291F6"/>
    <w:multiLevelType w:val="hybridMultilevel"/>
    <w:tmpl w:val="4836C39E"/>
    <w:lvl w:ilvl="0" w:tplc="26421176">
      <w:start w:val="4"/>
      <w:numFmt w:val="decimal"/>
      <w:lvlText w:val="%1."/>
      <w:lvlJc w:val="left"/>
    </w:lvl>
    <w:lvl w:ilvl="1" w:tplc="5748BE44">
      <w:numFmt w:val="decimal"/>
      <w:lvlText w:val=""/>
      <w:lvlJc w:val="left"/>
    </w:lvl>
    <w:lvl w:ilvl="2" w:tplc="D9B8227C">
      <w:numFmt w:val="decimal"/>
      <w:lvlText w:val=""/>
      <w:lvlJc w:val="left"/>
    </w:lvl>
    <w:lvl w:ilvl="3" w:tplc="6A9EB544">
      <w:numFmt w:val="decimal"/>
      <w:lvlText w:val=""/>
      <w:lvlJc w:val="left"/>
    </w:lvl>
    <w:lvl w:ilvl="4" w:tplc="891677FA">
      <w:numFmt w:val="decimal"/>
      <w:lvlText w:val=""/>
      <w:lvlJc w:val="left"/>
    </w:lvl>
    <w:lvl w:ilvl="5" w:tplc="41A486A8">
      <w:numFmt w:val="decimal"/>
      <w:lvlText w:val=""/>
      <w:lvlJc w:val="left"/>
    </w:lvl>
    <w:lvl w:ilvl="6" w:tplc="62B4E87C">
      <w:numFmt w:val="decimal"/>
      <w:lvlText w:val=""/>
      <w:lvlJc w:val="left"/>
    </w:lvl>
    <w:lvl w:ilvl="7" w:tplc="6396D9D4">
      <w:numFmt w:val="decimal"/>
      <w:lvlText w:val=""/>
      <w:lvlJc w:val="left"/>
    </w:lvl>
    <w:lvl w:ilvl="8" w:tplc="4D901AF2">
      <w:numFmt w:val="decimal"/>
      <w:lvlText w:val=""/>
      <w:lvlJc w:val="left"/>
    </w:lvl>
  </w:abstractNum>
  <w:abstractNum w:abstractNumId="4" w15:restartNumberingAfterBreak="0">
    <w:nsid w:val="1872261F"/>
    <w:multiLevelType w:val="hybridMultilevel"/>
    <w:tmpl w:val="454E4172"/>
    <w:lvl w:ilvl="0" w:tplc="41B2DFE2">
      <w:start w:val="1"/>
      <w:numFmt w:val="bullet"/>
      <w:lvlText w:val="-"/>
      <w:lvlJc w:val="left"/>
    </w:lvl>
    <w:lvl w:ilvl="1" w:tplc="A448F596">
      <w:numFmt w:val="decimal"/>
      <w:lvlText w:val=""/>
      <w:lvlJc w:val="left"/>
    </w:lvl>
    <w:lvl w:ilvl="2" w:tplc="39C22B9E">
      <w:numFmt w:val="decimal"/>
      <w:lvlText w:val=""/>
      <w:lvlJc w:val="left"/>
    </w:lvl>
    <w:lvl w:ilvl="3" w:tplc="9BD81D48">
      <w:numFmt w:val="decimal"/>
      <w:lvlText w:val=""/>
      <w:lvlJc w:val="left"/>
    </w:lvl>
    <w:lvl w:ilvl="4" w:tplc="C77432BE">
      <w:numFmt w:val="decimal"/>
      <w:lvlText w:val=""/>
      <w:lvlJc w:val="left"/>
    </w:lvl>
    <w:lvl w:ilvl="5" w:tplc="0360D144">
      <w:numFmt w:val="decimal"/>
      <w:lvlText w:val=""/>
      <w:lvlJc w:val="left"/>
    </w:lvl>
    <w:lvl w:ilvl="6" w:tplc="DE5E546C">
      <w:numFmt w:val="decimal"/>
      <w:lvlText w:val=""/>
      <w:lvlJc w:val="left"/>
    </w:lvl>
    <w:lvl w:ilvl="7" w:tplc="3EFA55CE">
      <w:numFmt w:val="decimal"/>
      <w:lvlText w:val=""/>
      <w:lvlJc w:val="left"/>
    </w:lvl>
    <w:lvl w:ilvl="8" w:tplc="40289AEC">
      <w:numFmt w:val="decimal"/>
      <w:lvlText w:val=""/>
      <w:lvlJc w:val="left"/>
    </w:lvl>
  </w:abstractNum>
  <w:abstractNum w:abstractNumId="5" w15:restartNumberingAfterBreak="0">
    <w:nsid w:val="3DE8306C"/>
    <w:multiLevelType w:val="hybridMultilevel"/>
    <w:tmpl w:val="D6121FD6"/>
    <w:lvl w:ilvl="0" w:tplc="D100866E">
      <w:start w:val="1"/>
      <w:numFmt w:val="decimal"/>
      <w:lvlText w:val="%1."/>
      <w:lvlJc w:val="left"/>
    </w:lvl>
    <w:lvl w:ilvl="1" w:tplc="CE90E91A">
      <w:numFmt w:val="decimal"/>
      <w:lvlText w:val=""/>
      <w:lvlJc w:val="left"/>
    </w:lvl>
    <w:lvl w:ilvl="2" w:tplc="46CA2770">
      <w:numFmt w:val="decimal"/>
      <w:lvlText w:val=""/>
      <w:lvlJc w:val="left"/>
    </w:lvl>
    <w:lvl w:ilvl="3" w:tplc="4BB031AA">
      <w:numFmt w:val="decimal"/>
      <w:lvlText w:val=""/>
      <w:lvlJc w:val="left"/>
    </w:lvl>
    <w:lvl w:ilvl="4" w:tplc="A7DAFEFE">
      <w:numFmt w:val="decimal"/>
      <w:lvlText w:val=""/>
      <w:lvlJc w:val="left"/>
    </w:lvl>
    <w:lvl w:ilvl="5" w:tplc="130CFC56">
      <w:numFmt w:val="decimal"/>
      <w:lvlText w:val=""/>
      <w:lvlJc w:val="left"/>
    </w:lvl>
    <w:lvl w:ilvl="6" w:tplc="FA3A1520">
      <w:numFmt w:val="decimal"/>
      <w:lvlText w:val=""/>
      <w:lvlJc w:val="left"/>
    </w:lvl>
    <w:lvl w:ilvl="7" w:tplc="DAC8CB2C">
      <w:numFmt w:val="decimal"/>
      <w:lvlText w:val=""/>
      <w:lvlJc w:val="left"/>
    </w:lvl>
    <w:lvl w:ilvl="8" w:tplc="0FB2A3DE">
      <w:numFmt w:val="decimal"/>
      <w:lvlText w:val=""/>
      <w:lvlJc w:val="left"/>
    </w:lvl>
  </w:abstractNum>
  <w:abstractNum w:abstractNumId="6" w15:restartNumberingAfterBreak="0">
    <w:nsid w:val="64D17722"/>
    <w:multiLevelType w:val="hybridMultilevel"/>
    <w:tmpl w:val="600AE520"/>
    <w:lvl w:ilvl="0" w:tplc="93EADD10">
      <w:start w:val="1"/>
      <w:numFmt w:val="bullet"/>
      <w:lvlText w:val="•"/>
      <w:lvlJc w:val="left"/>
    </w:lvl>
    <w:lvl w:ilvl="1" w:tplc="5BCE807C">
      <w:numFmt w:val="decimal"/>
      <w:lvlText w:val=""/>
      <w:lvlJc w:val="left"/>
    </w:lvl>
    <w:lvl w:ilvl="2" w:tplc="BB228692">
      <w:numFmt w:val="decimal"/>
      <w:lvlText w:val=""/>
      <w:lvlJc w:val="left"/>
    </w:lvl>
    <w:lvl w:ilvl="3" w:tplc="1F5EC83E">
      <w:numFmt w:val="decimal"/>
      <w:lvlText w:val=""/>
      <w:lvlJc w:val="left"/>
    </w:lvl>
    <w:lvl w:ilvl="4" w:tplc="8398DBB4">
      <w:numFmt w:val="decimal"/>
      <w:lvlText w:val=""/>
      <w:lvlJc w:val="left"/>
    </w:lvl>
    <w:lvl w:ilvl="5" w:tplc="3C805F52">
      <w:numFmt w:val="decimal"/>
      <w:lvlText w:val=""/>
      <w:lvlJc w:val="left"/>
    </w:lvl>
    <w:lvl w:ilvl="6" w:tplc="44BE9740">
      <w:numFmt w:val="decimal"/>
      <w:lvlText w:val=""/>
      <w:lvlJc w:val="left"/>
    </w:lvl>
    <w:lvl w:ilvl="7" w:tplc="DA440426">
      <w:numFmt w:val="decimal"/>
      <w:lvlText w:val=""/>
      <w:lvlJc w:val="left"/>
    </w:lvl>
    <w:lvl w:ilvl="8" w:tplc="6A687CC6">
      <w:numFmt w:val="decimal"/>
      <w:lvlText w:val=""/>
      <w:lvlJc w:val="left"/>
    </w:lvl>
  </w:abstractNum>
  <w:abstractNum w:abstractNumId="7" w15:restartNumberingAfterBreak="0">
    <w:nsid w:val="7616D704"/>
    <w:multiLevelType w:val="hybridMultilevel"/>
    <w:tmpl w:val="2D32259C"/>
    <w:lvl w:ilvl="0" w:tplc="5BF64096">
      <w:start w:val="5"/>
      <w:numFmt w:val="decimal"/>
      <w:lvlText w:val="%1."/>
      <w:lvlJc w:val="left"/>
    </w:lvl>
    <w:lvl w:ilvl="1" w:tplc="1F60004E">
      <w:numFmt w:val="decimal"/>
      <w:lvlText w:val=""/>
      <w:lvlJc w:val="left"/>
    </w:lvl>
    <w:lvl w:ilvl="2" w:tplc="FC586E1A">
      <w:numFmt w:val="decimal"/>
      <w:lvlText w:val=""/>
      <w:lvlJc w:val="left"/>
    </w:lvl>
    <w:lvl w:ilvl="3" w:tplc="42040716">
      <w:numFmt w:val="decimal"/>
      <w:lvlText w:val=""/>
      <w:lvlJc w:val="left"/>
    </w:lvl>
    <w:lvl w:ilvl="4" w:tplc="2C10D946">
      <w:numFmt w:val="decimal"/>
      <w:lvlText w:val=""/>
      <w:lvlJc w:val="left"/>
    </w:lvl>
    <w:lvl w:ilvl="5" w:tplc="EC088A7A">
      <w:numFmt w:val="decimal"/>
      <w:lvlText w:val=""/>
      <w:lvlJc w:val="left"/>
    </w:lvl>
    <w:lvl w:ilvl="6" w:tplc="DE1C6E08">
      <w:numFmt w:val="decimal"/>
      <w:lvlText w:val=""/>
      <w:lvlJc w:val="left"/>
    </w:lvl>
    <w:lvl w:ilvl="7" w:tplc="98848FC6">
      <w:numFmt w:val="decimal"/>
      <w:lvlText w:val=""/>
      <w:lvlJc w:val="left"/>
    </w:lvl>
    <w:lvl w:ilvl="8" w:tplc="250CA212">
      <w:numFmt w:val="decimal"/>
      <w:lvlText w:val=""/>
      <w:lvlJc w:val="left"/>
    </w:lvl>
  </w:abstractNum>
  <w:abstractNum w:abstractNumId="8" w15:restartNumberingAfterBreak="0">
    <w:nsid w:val="7631573A"/>
    <w:multiLevelType w:val="hybridMultilevel"/>
    <w:tmpl w:val="E4DA1A08"/>
    <w:lvl w:ilvl="0" w:tplc="F6BADD96">
      <w:start w:val="1"/>
      <w:numFmt w:val="decimal"/>
      <w:lvlText w:val="%1."/>
      <w:lvlJc w:val="left"/>
    </w:lvl>
    <w:lvl w:ilvl="1" w:tplc="3E8CF99A">
      <w:numFmt w:val="decimal"/>
      <w:lvlText w:val=""/>
      <w:lvlJc w:val="left"/>
    </w:lvl>
    <w:lvl w:ilvl="2" w:tplc="30884668">
      <w:numFmt w:val="decimal"/>
      <w:lvlText w:val=""/>
      <w:lvlJc w:val="left"/>
    </w:lvl>
    <w:lvl w:ilvl="3" w:tplc="616E2770">
      <w:numFmt w:val="decimal"/>
      <w:lvlText w:val=""/>
      <w:lvlJc w:val="left"/>
    </w:lvl>
    <w:lvl w:ilvl="4" w:tplc="7512ADB2">
      <w:numFmt w:val="decimal"/>
      <w:lvlText w:val=""/>
      <w:lvlJc w:val="left"/>
    </w:lvl>
    <w:lvl w:ilvl="5" w:tplc="F686270A">
      <w:numFmt w:val="decimal"/>
      <w:lvlText w:val=""/>
      <w:lvlJc w:val="left"/>
    </w:lvl>
    <w:lvl w:ilvl="6" w:tplc="156C48E4">
      <w:numFmt w:val="decimal"/>
      <w:lvlText w:val=""/>
      <w:lvlJc w:val="left"/>
    </w:lvl>
    <w:lvl w:ilvl="7" w:tplc="C2B63DDC">
      <w:numFmt w:val="decimal"/>
      <w:lvlText w:val=""/>
      <w:lvlJc w:val="left"/>
    </w:lvl>
    <w:lvl w:ilvl="8" w:tplc="A6CA41A6">
      <w:numFmt w:val="decimal"/>
      <w:lvlText w:val=""/>
      <w:lvlJc w:val="left"/>
    </w:lvl>
  </w:abstractNum>
  <w:abstractNum w:abstractNumId="9" w15:restartNumberingAfterBreak="0">
    <w:nsid w:val="7B14914E"/>
    <w:multiLevelType w:val="hybridMultilevel"/>
    <w:tmpl w:val="2626F1C0"/>
    <w:lvl w:ilvl="0" w:tplc="EEAA6E9C">
      <w:start w:val="3"/>
      <w:numFmt w:val="decimal"/>
      <w:lvlText w:val="%1."/>
      <w:lvlJc w:val="left"/>
    </w:lvl>
    <w:lvl w:ilvl="1" w:tplc="E7509984">
      <w:numFmt w:val="decimal"/>
      <w:lvlText w:val=""/>
      <w:lvlJc w:val="left"/>
    </w:lvl>
    <w:lvl w:ilvl="2" w:tplc="F51CCC6E">
      <w:numFmt w:val="decimal"/>
      <w:lvlText w:val=""/>
      <w:lvlJc w:val="left"/>
    </w:lvl>
    <w:lvl w:ilvl="3" w:tplc="14429D80">
      <w:numFmt w:val="decimal"/>
      <w:lvlText w:val=""/>
      <w:lvlJc w:val="left"/>
    </w:lvl>
    <w:lvl w:ilvl="4" w:tplc="C360F0B8">
      <w:numFmt w:val="decimal"/>
      <w:lvlText w:val=""/>
      <w:lvlJc w:val="left"/>
    </w:lvl>
    <w:lvl w:ilvl="5" w:tplc="804694B4">
      <w:numFmt w:val="decimal"/>
      <w:lvlText w:val=""/>
      <w:lvlJc w:val="left"/>
    </w:lvl>
    <w:lvl w:ilvl="6" w:tplc="52560D80">
      <w:numFmt w:val="decimal"/>
      <w:lvlText w:val=""/>
      <w:lvlJc w:val="left"/>
    </w:lvl>
    <w:lvl w:ilvl="7" w:tplc="53CAD61E">
      <w:numFmt w:val="decimal"/>
      <w:lvlText w:val=""/>
      <w:lvlJc w:val="left"/>
    </w:lvl>
    <w:lvl w:ilvl="8" w:tplc="D8782E32">
      <w:numFmt w:val="decimal"/>
      <w:lvlText w:val=""/>
      <w:lvlJc w:val="left"/>
    </w:lvl>
  </w:abstractNum>
  <w:num w:numId="1">
    <w:abstractNumId w:val="4"/>
  </w:num>
  <w:num w:numId="2">
    <w:abstractNumId w:val="5"/>
  </w:num>
  <w:num w:numId="3">
    <w:abstractNumId w:val="8"/>
  </w:num>
  <w:num w:numId="4">
    <w:abstractNumId w:val="0"/>
  </w:num>
  <w:num w:numId="5">
    <w:abstractNumId w:val="1"/>
  </w:num>
  <w:num w:numId="6">
    <w:abstractNumId w:val="9"/>
  </w:num>
  <w:num w:numId="7">
    <w:abstractNumId w:val="3"/>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FA"/>
    <w:rsid w:val="001912EB"/>
    <w:rsid w:val="00290CFA"/>
    <w:rsid w:val="0043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3939"/>
  <w15:chartTrackingRefBased/>
  <w15:docId w15:val="{D31CF6BC-42F9-4426-B2D5-5A11C8C1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EB"/>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2621</Words>
  <Characters>14946</Characters>
  <Application>Microsoft Office Word</Application>
  <DocSecurity>0</DocSecurity>
  <Lines>124</Lines>
  <Paragraphs>35</Paragraphs>
  <ScaleCrop>false</ScaleCrop>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2020-12-23T09:24:00Z</dcterms:created>
  <dcterms:modified xsi:type="dcterms:W3CDTF">2020-12-23T09:29:00Z</dcterms:modified>
</cp:coreProperties>
</file>