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C5879" w14:textId="77777777" w:rsidR="00E13A29" w:rsidRDefault="00E13A29" w:rsidP="00E13A29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4AD521EE" w14:textId="77777777" w:rsidR="00E13A29" w:rsidRDefault="00E13A29" w:rsidP="00E13A29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6A434A49" w14:textId="77777777" w:rsidR="00E13A29" w:rsidRDefault="00E13A29" w:rsidP="00E13A29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5353907B" w14:textId="77777777" w:rsidR="00E13A29" w:rsidRDefault="00E13A29" w:rsidP="00E13A29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2A08881C" w14:textId="77777777" w:rsidR="00E13A29" w:rsidRDefault="00E13A29" w:rsidP="00E13A29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3A52C918" w14:textId="77777777" w:rsidR="00E13A29" w:rsidRDefault="00E13A29" w:rsidP="00E13A29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408684F8" w14:textId="77777777" w:rsidR="00E13A29" w:rsidRDefault="00E13A29" w:rsidP="00E13A29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5B78392C" w14:textId="77777777" w:rsidR="00E13A29" w:rsidRDefault="00E13A29" w:rsidP="00E13A29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6E59BFE0" w14:textId="77777777" w:rsidR="00E13A29" w:rsidRDefault="00E13A29" w:rsidP="00E13A29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47E6135D" w14:textId="77777777" w:rsidR="00E13A29" w:rsidRDefault="00E13A29" w:rsidP="00E13A29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69E6215B" w14:textId="77777777" w:rsidR="00E13A29" w:rsidRDefault="00E13A29" w:rsidP="00E13A29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10C13602" w14:textId="77777777" w:rsidR="00E13A29" w:rsidRDefault="00E13A29" w:rsidP="00E13A29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76B4BC26" w14:textId="77777777" w:rsidR="00E13A29" w:rsidRDefault="00E13A29" w:rsidP="00E13A29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1E72FEFD" w14:textId="77777777" w:rsidR="00E13A29" w:rsidRDefault="00E13A29" w:rsidP="00E13A29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53D20E23" w14:textId="77777777" w:rsidR="00E13A29" w:rsidRDefault="00E13A29" w:rsidP="00E13A29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7A958091" w14:textId="77777777" w:rsidR="00E13A29" w:rsidRDefault="00E13A29" w:rsidP="00E13A29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3E7D2DB9" w14:textId="77777777" w:rsidR="00E13A29" w:rsidRDefault="00E13A29" w:rsidP="00E13A29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0B4D837A" w14:textId="77777777" w:rsidR="00E13A29" w:rsidRDefault="00E13A29" w:rsidP="00E13A29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64475908" w14:textId="77777777" w:rsidR="00E13A29" w:rsidRDefault="00E13A29" w:rsidP="00E13A29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56B137F1" w14:textId="77777777" w:rsidR="00E13A29" w:rsidRDefault="00E13A29" w:rsidP="00E13A29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33DDEF01" w14:textId="77777777" w:rsidR="00E13A29" w:rsidRDefault="00E13A29" w:rsidP="00E13A29">
      <w:pPr>
        <w:ind w:right="4"/>
        <w:jc w:val="center"/>
        <w:rPr>
          <w:rFonts w:eastAsia="Times New Roman"/>
          <w:b/>
          <w:bCs/>
          <w:sz w:val="21"/>
          <w:szCs w:val="21"/>
        </w:rPr>
      </w:pPr>
    </w:p>
    <w:p w14:paraId="6CBF0A8C" w14:textId="67BC0A24" w:rsidR="00E13A29" w:rsidRDefault="00E13A29" w:rsidP="00E13A29">
      <w:pPr>
        <w:ind w:right="4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B. PAKUOTĖS LAPELIS</w:t>
      </w:r>
    </w:p>
    <w:p w14:paraId="78048DA0" w14:textId="77777777" w:rsidR="00E13A29" w:rsidRDefault="00E13A29" w:rsidP="00E13A29">
      <w:pPr>
        <w:sectPr w:rsidR="00E13A29">
          <w:pgSz w:w="11900" w:h="16840"/>
          <w:pgMar w:top="1440" w:right="1440" w:bottom="183" w:left="1440" w:header="0" w:footer="0" w:gutter="0"/>
          <w:cols w:space="720" w:equalWidth="0">
            <w:col w:w="9024"/>
          </w:cols>
        </w:sectPr>
      </w:pPr>
    </w:p>
    <w:p w14:paraId="61BA3220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3F21F155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14341F73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2EA742E3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61BDDC93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4BC3D2A3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32748BE3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3C2740AF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48E93C69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36BF62E2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674150AA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4FC07E6C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26BEC7F5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0009C9DD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1291DE2F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01055BB7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459C23D0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1216A9EB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0A815086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1DFAE858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3DB02C45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2A9F24AA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364E602E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77CC970E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7ECBE5D3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6F3CC5A9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0977E7E6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58080DA3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48001110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459B6D67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76C0D30B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5E6D49E6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21B8F4F7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4F9A7D99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74D13690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1927264E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0DF538B5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138D3E57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2C9D4721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28BE8752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305A0F76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0A0FDDF7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1DC2F3C5" w14:textId="77777777" w:rsidR="00E13A29" w:rsidRDefault="00E13A29" w:rsidP="00E13A29">
      <w:pPr>
        <w:spacing w:line="333" w:lineRule="exact"/>
        <w:rPr>
          <w:sz w:val="20"/>
          <w:szCs w:val="20"/>
        </w:rPr>
      </w:pPr>
    </w:p>
    <w:p w14:paraId="5B0E9864" w14:textId="77777777" w:rsidR="00E13A29" w:rsidRDefault="00E13A29" w:rsidP="00E13A29">
      <w:pPr>
        <w:ind w:right="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</w:t>
      </w:r>
    </w:p>
    <w:p w14:paraId="59F92DA3" w14:textId="77777777" w:rsidR="00E13A29" w:rsidRDefault="00E13A29" w:rsidP="00E13A29">
      <w:pPr>
        <w:sectPr w:rsidR="00E13A29">
          <w:type w:val="continuous"/>
          <w:pgSz w:w="11900" w:h="16840"/>
          <w:pgMar w:top="1440" w:right="1440" w:bottom="183" w:left="1440" w:header="0" w:footer="0" w:gutter="0"/>
          <w:cols w:space="720" w:equalWidth="0">
            <w:col w:w="9024"/>
          </w:cols>
        </w:sectPr>
      </w:pPr>
    </w:p>
    <w:p w14:paraId="4758A2FA" w14:textId="77777777" w:rsidR="00E13A29" w:rsidRDefault="00E13A29" w:rsidP="00E13A29">
      <w:pPr>
        <w:ind w:right="-85"/>
        <w:jc w:val="center"/>
        <w:rPr>
          <w:sz w:val="20"/>
          <w:szCs w:val="20"/>
        </w:rPr>
      </w:pPr>
      <w:bookmarkStart w:id="0" w:name="page34"/>
      <w:bookmarkEnd w:id="0"/>
      <w:proofErr w:type="spellStart"/>
      <w:r>
        <w:rPr>
          <w:rFonts w:eastAsia="Times New Roman"/>
          <w:b/>
          <w:bCs/>
        </w:rPr>
        <w:lastRenderedPageBreak/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lapelis</w:t>
      </w:r>
      <w:proofErr w:type="spellEnd"/>
      <w:r>
        <w:rPr>
          <w:rFonts w:eastAsia="Times New Roman"/>
          <w:b/>
          <w:bCs/>
        </w:rPr>
        <w:t xml:space="preserve">: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pacientui</w:t>
      </w:r>
      <w:proofErr w:type="spellEnd"/>
    </w:p>
    <w:p w14:paraId="2E7125B7" w14:textId="77777777" w:rsidR="00E13A29" w:rsidRDefault="00E13A29" w:rsidP="00E13A29">
      <w:pPr>
        <w:spacing w:line="252" w:lineRule="exact"/>
        <w:rPr>
          <w:sz w:val="20"/>
          <w:szCs w:val="20"/>
        </w:rPr>
      </w:pPr>
    </w:p>
    <w:p w14:paraId="45C0AF9A" w14:textId="77777777" w:rsidR="00E13A29" w:rsidRDefault="00E13A29" w:rsidP="00E13A29">
      <w:pPr>
        <w:ind w:right="-85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Otezla 10 mg </w:t>
      </w:r>
      <w:proofErr w:type="spellStart"/>
      <w:r>
        <w:rPr>
          <w:rFonts w:eastAsia="Times New Roman"/>
          <w:b/>
          <w:bCs/>
        </w:rPr>
        <w:t>plėvele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dengtos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tabletės</w:t>
      </w:r>
      <w:proofErr w:type="spellEnd"/>
    </w:p>
    <w:p w14:paraId="0C1D83C9" w14:textId="77777777" w:rsidR="00E13A29" w:rsidRDefault="00E13A29" w:rsidP="00E13A29">
      <w:pPr>
        <w:spacing w:line="4" w:lineRule="exact"/>
        <w:rPr>
          <w:sz w:val="20"/>
          <w:szCs w:val="20"/>
        </w:rPr>
      </w:pPr>
    </w:p>
    <w:p w14:paraId="63556B84" w14:textId="77777777" w:rsidR="00E13A29" w:rsidRDefault="00E13A29" w:rsidP="00E13A29">
      <w:pPr>
        <w:ind w:right="-85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Otezla 20 mg </w:t>
      </w:r>
      <w:proofErr w:type="spellStart"/>
      <w:r>
        <w:rPr>
          <w:rFonts w:eastAsia="Times New Roman"/>
          <w:b/>
          <w:bCs/>
        </w:rPr>
        <w:t>plėvele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dengtos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tabletės</w:t>
      </w:r>
      <w:proofErr w:type="spellEnd"/>
    </w:p>
    <w:p w14:paraId="5F0A9B51" w14:textId="77777777" w:rsidR="00E13A29" w:rsidRDefault="00E13A29" w:rsidP="00E13A29">
      <w:pPr>
        <w:ind w:right="-85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Otezla 30 mg </w:t>
      </w:r>
      <w:proofErr w:type="spellStart"/>
      <w:r>
        <w:rPr>
          <w:rFonts w:eastAsia="Times New Roman"/>
          <w:b/>
          <w:bCs/>
        </w:rPr>
        <w:t>plėvele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dengtos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tabletės</w:t>
      </w:r>
      <w:proofErr w:type="spellEnd"/>
    </w:p>
    <w:p w14:paraId="34F54FA3" w14:textId="77777777" w:rsidR="00E13A29" w:rsidRDefault="00E13A29" w:rsidP="00E13A29">
      <w:pPr>
        <w:ind w:right="-85"/>
        <w:jc w:val="center"/>
        <w:rPr>
          <w:sz w:val="20"/>
          <w:szCs w:val="20"/>
        </w:rPr>
      </w:pPr>
      <w:proofErr w:type="spellStart"/>
      <w:r>
        <w:rPr>
          <w:rFonts w:eastAsia="Times New Roman"/>
        </w:rPr>
        <w:t>apremilastas</w:t>
      </w:r>
      <w:proofErr w:type="spellEnd"/>
    </w:p>
    <w:p w14:paraId="41FCF88E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20D83F59" w14:textId="77777777" w:rsidR="00E13A29" w:rsidRDefault="00E13A29" w:rsidP="00E13A29">
      <w:pPr>
        <w:spacing w:line="301" w:lineRule="exact"/>
        <w:rPr>
          <w:sz w:val="20"/>
          <w:szCs w:val="20"/>
        </w:rPr>
      </w:pPr>
    </w:p>
    <w:p w14:paraId="2302F20E" w14:textId="77777777" w:rsidR="00E13A29" w:rsidRDefault="00E13A29" w:rsidP="00E13A29">
      <w:pPr>
        <w:spacing w:line="242" w:lineRule="auto"/>
        <w:ind w:left="6" w:right="14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Atidžiai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perskaitykite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visą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lapelį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pradėdami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vaistą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nes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pateikiama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Jums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svarbi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>.</w:t>
      </w:r>
    </w:p>
    <w:p w14:paraId="430CC9D2" w14:textId="77777777" w:rsidR="00E13A29" w:rsidRDefault="00E13A29" w:rsidP="00E13A29">
      <w:pPr>
        <w:numPr>
          <w:ilvl w:val="0"/>
          <w:numId w:val="1"/>
        </w:numPr>
        <w:tabs>
          <w:tab w:val="left" w:pos="566"/>
        </w:tabs>
        <w:ind w:left="566" w:hanging="566"/>
        <w:rPr>
          <w:rFonts w:eastAsia="Times New Roman"/>
        </w:rPr>
      </w:pPr>
      <w:proofErr w:type="spellStart"/>
      <w:r>
        <w:rPr>
          <w:rFonts w:eastAsia="Times New Roman"/>
        </w:rPr>
        <w:t>Neišmeskite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prireikti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perskaityti</w:t>
      </w:r>
      <w:proofErr w:type="spellEnd"/>
      <w:r>
        <w:rPr>
          <w:rFonts w:eastAsia="Times New Roman"/>
        </w:rPr>
        <w:t>.</w:t>
      </w:r>
    </w:p>
    <w:p w14:paraId="5CA742BF" w14:textId="77777777" w:rsidR="00E13A29" w:rsidRDefault="00E13A29" w:rsidP="00E13A29">
      <w:pPr>
        <w:numPr>
          <w:ilvl w:val="0"/>
          <w:numId w:val="1"/>
        </w:numPr>
        <w:tabs>
          <w:tab w:val="left" w:pos="566"/>
        </w:tabs>
        <w:ind w:left="566" w:hanging="566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slaugytoją</w:t>
      </w:r>
      <w:proofErr w:type="spellEnd"/>
      <w:r>
        <w:rPr>
          <w:rFonts w:eastAsia="Times New Roman"/>
        </w:rPr>
        <w:t>.</w:t>
      </w:r>
    </w:p>
    <w:p w14:paraId="17B881D7" w14:textId="77777777" w:rsidR="00E13A29" w:rsidRDefault="00E13A29" w:rsidP="00E13A29">
      <w:pPr>
        <w:numPr>
          <w:ilvl w:val="0"/>
          <w:numId w:val="1"/>
        </w:numPr>
        <w:tabs>
          <w:tab w:val="left" w:pos="566"/>
        </w:tabs>
        <w:spacing w:line="239" w:lineRule="auto"/>
        <w:ind w:left="566" w:hanging="566"/>
        <w:rPr>
          <w:rFonts w:eastAsia="Times New Roman"/>
        </w:rPr>
      </w:pP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skirtas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žmonėms</w:t>
      </w:r>
      <w:proofErr w:type="spellEnd"/>
      <w:r>
        <w:rPr>
          <w:rFonts w:eastAsia="Times New Roman"/>
        </w:rPr>
        <w:t xml:space="preserve"> jo </w:t>
      </w:r>
      <w:proofErr w:type="spellStart"/>
      <w:r>
        <w:rPr>
          <w:rFonts w:eastAsia="Times New Roman"/>
        </w:rPr>
        <w:t>duoti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pakenkti</w:t>
      </w:r>
      <w:proofErr w:type="spellEnd"/>
      <w:r>
        <w:rPr>
          <w:rFonts w:eastAsia="Times New Roman"/>
        </w:rPr>
        <w:t xml:space="preserve"> (net </w:t>
      </w:r>
      <w:proofErr w:type="spellStart"/>
      <w:r>
        <w:rPr>
          <w:rFonts w:eastAsia="Times New Roman"/>
        </w:rPr>
        <w:t>tiems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>).</w:t>
      </w:r>
    </w:p>
    <w:p w14:paraId="1C59D087" w14:textId="77777777" w:rsidR="00E13A29" w:rsidRDefault="00E13A29" w:rsidP="00E13A29">
      <w:pPr>
        <w:spacing w:line="1" w:lineRule="exact"/>
        <w:rPr>
          <w:rFonts w:eastAsia="Times New Roman"/>
        </w:rPr>
      </w:pPr>
    </w:p>
    <w:p w14:paraId="3CA18018" w14:textId="77777777" w:rsidR="00E13A29" w:rsidRDefault="00E13A29" w:rsidP="00E13A29">
      <w:pPr>
        <w:numPr>
          <w:ilvl w:val="0"/>
          <w:numId w:val="1"/>
        </w:numPr>
        <w:tabs>
          <w:tab w:val="left" w:pos="566"/>
        </w:tabs>
        <w:spacing w:line="271" w:lineRule="auto"/>
        <w:ind w:left="566" w:right="340" w:hanging="566"/>
        <w:rPr>
          <w:rFonts w:eastAsia="Times New Roman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(net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nenurodytas</w:t>
      </w:r>
      <w:proofErr w:type="spellEnd"/>
      <w:r>
        <w:rPr>
          <w:rFonts w:eastAsia="Times New Roman"/>
        </w:rPr>
        <w:t xml:space="preserve">),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slaugytoją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4 </w:t>
      </w:r>
      <w:proofErr w:type="spellStart"/>
      <w:r>
        <w:rPr>
          <w:rFonts w:eastAsia="Times New Roman"/>
        </w:rPr>
        <w:t>skyrių</w:t>
      </w:r>
      <w:proofErr w:type="spellEnd"/>
      <w:r>
        <w:rPr>
          <w:rFonts w:eastAsia="Times New Roman"/>
        </w:rPr>
        <w:t>.</w:t>
      </w:r>
    </w:p>
    <w:p w14:paraId="1ABBE346" w14:textId="77777777" w:rsidR="00E13A29" w:rsidRDefault="00E13A29" w:rsidP="00E13A29">
      <w:pPr>
        <w:spacing w:line="184" w:lineRule="exact"/>
        <w:rPr>
          <w:sz w:val="20"/>
          <w:szCs w:val="20"/>
        </w:rPr>
      </w:pPr>
    </w:p>
    <w:p w14:paraId="350AC401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Apie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rašoma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šiame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lapelyje</w:t>
      </w:r>
      <w:proofErr w:type="spellEnd"/>
      <w:r>
        <w:rPr>
          <w:rFonts w:eastAsia="Times New Roman"/>
          <w:b/>
          <w:bCs/>
        </w:rPr>
        <w:t>?</w:t>
      </w:r>
    </w:p>
    <w:p w14:paraId="790E3074" w14:textId="77777777" w:rsidR="00E13A29" w:rsidRDefault="00E13A29" w:rsidP="00E13A29">
      <w:pPr>
        <w:spacing w:line="256" w:lineRule="exact"/>
        <w:rPr>
          <w:sz w:val="20"/>
          <w:szCs w:val="20"/>
        </w:rPr>
      </w:pPr>
    </w:p>
    <w:p w14:paraId="3065C708" w14:textId="77777777" w:rsidR="00E13A29" w:rsidRDefault="00E13A29" w:rsidP="00E13A29">
      <w:pPr>
        <w:numPr>
          <w:ilvl w:val="0"/>
          <w:numId w:val="2"/>
        </w:numPr>
        <w:tabs>
          <w:tab w:val="left" w:pos="566"/>
        </w:tabs>
        <w:ind w:left="566" w:hanging="566"/>
        <w:rPr>
          <w:rFonts w:eastAsia="Times New Roman"/>
        </w:rPr>
      </w:pPr>
      <w:r>
        <w:rPr>
          <w:rFonts w:eastAsia="Times New Roman"/>
        </w:rPr>
        <w:t xml:space="preserve">Kas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Otezla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vartojamas</w:t>
      </w:r>
      <w:proofErr w:type="spellEnd"/>
    </w:p>
    <w:p w14:paraId="4B913F2B" w14:textId="77777777" w:rsidR="00E13A29" w:rsidRDefault="00E13A29" w:rsidP="00E13A29">
      <w:pPr>
        <w:numPr>
          <w:ilvl w:val="0"/>
          <w:numId w:val="2"/>
        </w:numPr>
        <w:tabs>
          <w:tab w:val="left" w:pos="566"/>
        </w:tabs>
        <w:ind w:left="566" w:hanging="566"/>
        <w:rPr>
          <w:rFonts w:eastAsia="Times New Roman"/>
        </w:rPr>
      </w:pPr>
      <w:r>
        <w:rPr>
          <w:rFonts w:eastAsia="Times New Roman"/>
        </w:rPr>
        <w:t xml:space="preserve">Kas </w:t>
      </w:r>
      <w:proofErr w:type="spellStart"/>
      <w:r>
        <w:rPr>
          <w:rFonts w:eastAsia="Times New Roman"/>
        </w:rPr>
        <w:t>žinotina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Otezla</w:t>
      </w:r>
    </w:p>
    <w:p w14:paraId="1E31367B" w14:textId="77777777" w:rsidR="00E13A29" w:rsidRDefault="00E13A29" w:rsidP="00E13A29">
      <w:pPr>
        <w:numPr>
          <w:ilvl w:val="0"/>
          <w:numId w:val="2"/>
        </w:numPr>
        <w:tabs>
          <w:tab w:val="left" w:pos="566"/>
        </w:tabs>
        <w:ind w:left="566" w:hanging="566"/>
        <w:rPr>
          <w:rFonts w:eastAsia="Times New Roman"/>
        </w:rPr>
      </w:pPr>
      <w:r>
        <w:rPr>
          <w:rFonts w:eastAsia="Times New Roman"/>
        </w:rPr>
        <w:t xml:space="preserve">Kaip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Otezla</w:t>
      </w:r>
    </w:p>
    <w:p w14:paraId="6103C8B3" w14:textId="77777777" w:rsidR="00E13A29" w:rsidRDefault="00E13A29" w:rsidP="00E13A29">
      <w:pPr>
        <w:numPr>
          <w:ilvl w:val="0"/>
          <w:numId w:val="2"/>
        </w:numPr>
        <w:tabs>
          <w:tab w:val="left" w:pos="566"/>
        </w:tabs>
        <w:ind w:left="566" w:hanging="566"/>
        <w:rPr>
          <w:rFonts w:eastAsia="Times New Roman"/>
        </w:rPr>
      </w:pPr>
      <w:proofErr w:type="spellStart"/>
      <w:r>
        <w:rPr>
          <w:rFonts w:eastAsia="Times New Roman"/>
        </w:rPr>
        <w:t>Galimas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</w:p>
    <w:p w14:paraId="693767D2" w14:textId="77777777" w:rsidR="00E13A29" w:rsidRDefault="00E13A29" w:rsidP="00E13A29">
      <w:pPr>
        <w:numPr>
          <w:ilvl w:val="0"/>
          <w:numId w:val="2"/>
        </w:numPr>
        <w:tabs>
          <w:tab w:val="left" w:pos="566"/>
        </w:tabs>
        <w:ind w:left="566" w:hanging="566"/>
        <w:rPr>
          <w:rFonts w:eastAsia="Times New Roman"/>
        </w:rPr>
      </w:pPr>
      <w:r>
        <w:rPr>
          <w:rFonts w:eastAsia="Times New Roman"/>
        </w:rPr>
        <w:t xml:space="preserve">Kaip </w:t>
      </w: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Otezla</w:t>
      </w:r>
    </w:p>
    <w:p w14:paraId="0D96D99B" w14:textId="77777777" w:rsidR="00E13A29" w:rsidRDefault="00E13A29" w:rsidP="00E13A29">
      <w:pPr>
        <w:numPr>
          <w:ilvl w:val="0"/>
          <w:numId w:val="2"/>
        </w:numPr>
        <w:tabs>
          <w:tab w:val="left" w:pos="566"/>
        </w:tabs>
        <w:ind w:left="566" w:hanging="566"/>
        <w:rPr>
          <w:rFonts w:eastAsia="Times New Roman"/>
        </w:rPr>
      </w:pP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turinys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informacija</w:t>
      </w:r>
      <w:proofErr w:type="spellEnd"/>
    </w:p>
    <w:p w14:paraId="6F26BB84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3BF4973D" w14:textId="77777777" w:rsidR="00E13A29" w:rsidRDefault="00E13A29" w:rsidP="00E13A29">
      <w:pPr>
        <w:spacing w:line="303" w:lineRule="exact"/>
        <w:rPr>
          <w:sz w:val="20"/>
          <w:szCs w:val="20"/>
        </w:rPr>
      </w:pPr>
    </w:p>
    <w:p w14:paraId="5542214A" w14:textId="77777777" w:rsidR="007E4133" w:rsidRDefault="00E13A29" w:rsidP="007E4133">
      <w:pPr>
        <w:numPr>
          <w:ilvl w:val="0"/>
          <w:numId w:val="3"/>
        </w:numPr>
        <w:tabs>
          <w:tab w:val="left" w:pos="573"/>
        </w:tabs>
        <w:spacing w:line="481" w:lineRule="auto"/>
        <w:ind w:left="6" w:right="5500" w:hanging="186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Kas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Otezla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kam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vartojamas</w:t>
      </w:r>
      <w:proofErr w:type="spellEnd"/>
      <w:r>
        <w:rPr>
          <w:rFonts w:eastAsia="Times New Roman"/>
          <w:b/>
          <w:bCs/>
        </w:rPr>
        <w:t xml:space="preserve"> </w:t>
      </w:r>
    </w:p>
    <w:p w14:paraId="01DF8DBB" w14:textId="77777777" w:rsidR="00E13A29" w:rsidRDefault="00E13A29" w:rsidP="007E4133">
      <w:pPr>
        <w:spacing w:line="2" w:lineRule="exact"/>
        <w:ind w:left="-180"/>
        <w:rPr>
          <w:sz w:val="20"/>
          <w:szCs w:val="20"/>
        </w:rPr>
      </w:pPr>
    </w:p>
    <w:p w14:paraId="784D02E4" w14:textId="77777777" w:rsidR="00E13A29" w:rsidRDefault="00E13A29" w:rsidP="00E13A29">
      <w:pPr>
        <w:spacing w:line="271" w:lineRule="auto"/>
        <w:ind w:left="6" w:right="440"/>
        <w:rPr>
          <w:sz w:val="20"/>
          <w:szCs w:val="20"/>
        </w:rPr>
      </w:pPr>
      <w:r>
        <w:rPr>
          <w:rFonts w:eastAsia="Times New Roman"/>
        </w:rPr>
        <w:t xml:space="preserve">Otezla </w:t>
      </w:r>
      <w:proofErr w:type="spellStart"/>
      <w:r>
        <w:rPr>
          <w:rFonts w:eastAsia="Times New Roman"/>
        </w:rPr>
        <w:t>sudėtyje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veikliosios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apremilasto</w:t>
      </w:r>
      <w:proofErr w:type="spellEnd"/>
      <w:r>
        <w:rPr>
          <w:rFonts w:eastAsia="Times New Roman"/>
        </w:rPr>
        <w:t xml:space="preserve">. Ji </w:t>
      </w:r>
      <w:proofErr w:type="spellStart"/>
      <w:r>
        <w:rPr>
          <w:rFonts w:eastAsia="Times New Roman"/>
        </w:rPr>
        <w:t>priklauso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vadinamų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fosfodiesterazės</w:t>
      </w:r>
      <w:proofErr w:type="spellEnd"/>
      <w:r>
        <w:rPr>
          <w:rFonts w:eastAsia="Times New Roman"/>
        </w:rPr>
        <w:t xml:space="preserve"> 4 </w:t>
      </w:r>
      <w:proofErr w:type="spellStart"/>
      <w:r>
        <w:rPr>
          <w:rFonts w:eastAsia="Times New Roman"/>
        </w:rPr>
        <w:t>inhibitoriais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padedančių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grupei</w:t>
      </w:r>
      <w:proofErr w:type="spellEnd"/>
      <w:r>
        <w:rPr>
          <w:rFonts w:eastAsia="Times New Roman"/>
        </w:rPr>
        <w:t>.</w:t>
      </w:r>
    </w:p>
    <w:p w14:paraId="3D74DB5E" w14:textId="77777777" w:rsidR="00E13A29" w:rsidRDefault="00E13A29" w:rsidP="00E13A29">
      <w:pPr>
        <w:spacing w:line="184" w:lineRule="exact"/>
        <w:rPr>
          <w:sz w:val="20"/>
          <w:szCs w:val="20"/>
        </w:rPr>
      </w:pPr>
    </w:p>
    <w:p w14:paraId="47107D57" w14:textId="77777777" w:rsidR="00E13A29" w:rsidRDefault="00E13A29" w:rsidP="00E13A29">
      <w:pPr>
        <w:ind w:left="6"/>
        <w:rPr>
          <w:sz w:val="20"/>
          <w:szCs w:val="20"/>
        </w:rPr>
      </w:pPr>
      <w:r>
        <w:rPr>
          <w:rFonts w:eastAsia="Times New Roman"/>
          <w:b/>
          <w:bCs/>
        </w:rPr>
        <w:t xml:space="preserve">Kam Otezla </w:t>
      </w:r>
      <w:proofErr w:type="spellStart"/>
      <w:r>
        <w:rPr>
          <w:rFonts w:eastAsia="Times New Roman"/>
          <w:b/>
          <w:bCs/>
        </w:rPr>
        <w:t>vartojamas</w:t>
      </w:r>
      <w:proofErr w:type="spellEnd"/>
    </w:p>
    <w:p w14:paraId="5EA5446D" w14:textId="77777777" w:rsidR="00E13A29" w:rsidRDefault="00E13A29" w:rsidP="00E13A29">
      <w:pPr>
        <w:spacing w:line="256" w:lineRule="exact"/>
        <w:rPr>
          <w:sz w:val="20"/>
          <w:szCs w:val="20"/>
        </w:rPr>
      </w:pPr>
    </w:p>
    <w:p w14:paraId="053EF0ED" w14:textId="77777777" w:rsidR="00E13A29" w:rsidRDefault="00E13A29" w:rsidP="00E13A29">
      <w:pPr>
        <w:ind w:left="6"/>
        <w:rPr>
          <w:sz w:val="20"/>
          <w:szCs w:val="20"/>
        </w:rPr>
      </w:pPr>
      <w:r>
        <w:rPr>
          <w:rFonts w:eastAsia="Times New Roman"/>
        </w:rPr>
        <w:t xml:space="preserve">Otezla </w:t>
      </w:r>
      <w:proofErr w:type="spellStart"/>
      <w:r>
        <w:rPr>
          <w:rFonts w:eastAsia="Times New Roman"/>
        </w:rPr>
        <w:t>vartojamas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suaugusiesiems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būklės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>:</w:t>
      </w:r>
    </w:p>
    <w:p w14:paraId="5AAD7A14" w14:textId="77777777" w:rsidR="00E13A29" w:rsidRDefault="00E13A29" w:rsidP="00E13A29">
      <w:pPr>
        <w:spacing w:line="15" w:lineRule="exact"/>
        <w:rPr>
          <w:sz w:val="20"/>
          <w:szCs w:val="20"/>
        </w:rPr>
      </w:pPr>
    </w:p>
    <w:p w14:paraId="4C314421" w14:textId="77777777" w:rsidR="00E13A29" w:rsidRDefault="00E13A29" w:rsidP="00E13A29">
      <w:pPr>
        <w:spacing w:line="245" w:lineRule="auto"/>
        <w:ind w:left="566" w:right="56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Aktyvus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psoriazinis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artritas</w:t>
      </w:r>
      <w:proofErr w:type="spellEnd"/>
      <w:r>
        <w:rPr>
          <w:rFonts w:eastAsia="Times New Roman"/>
          <w:b/>
          <w:bCs/>
        </w:rPr>
        <w:t xml:space="preserve"> –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tipo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vadinamo</w:t>
      </w:r>
      <w:proofErr w:type="spellEnd"/>
      <w:r>
        <w:rPr>
          <w:rFonts w:eastAsia="Times New Roman"/>
        </w:rPr>
        <w:t xml:space="preserve"> „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eigą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modifikuojančiais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reumato</w:t>
      </w:r>
      <w:proofErr w:type="spellEnd"/>
      <w:r>
        <w:rPr>
          <w:rFonts w:eastAsia="Times New Roman"/>
        </w:rPr>
        <w:t>“ (</w:t>
      </w:r>
      <w:proofErr w:type="gramEnd"/>
      <w:r>
        <w:rPr>
          <w:rFonts w:eastAsia="Times New Roman"/>
        </w:rPr>
        <w:t xml:space="preserve">LEMVNR),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išbandėte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veiksmingas</w:t>
      </w:r>
      <w:proofErr w:type="spellEnd"/>
      <w:r>
        <w:rPr>
          <w:rFonts w:eastAsia="Times New Roman"/>
        </w:rPr>
        <w:t>.</w:t>
      </w:r>
    </w:p>
    <w:p w14:paraId="190F914A" w14:textId="77777777" w:rsidR="00E13A29" w:rsidRDefault="00E13A29" w:rsidP="00E13A29">
      <w:pPr>
        <w:spacing w:line="1" w:lineRule="exact"/>
        <w:rPr>
          <w:sz w:val="20"/>
          <w:szCs w:val="20"/>
        </w:rPr>
      </w:pPr>
    </w:p>
    <w:p w14:paraId="05457B8F" w14:textId="77777777" w:rsidR="00E13A29" w:rsidRDefault="00E13A29" w:rsidP="00E13A29">
      <w:pPr>
        <w:spacing w:line="239" w:lineRule="auto"/>
        <w:ind w:left="566" w:right="28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Vidutinio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sunkumo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arba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sunki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lėtinė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paprastoji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psoriazė</w:t>
      </w:r>
      <w:proofErr w:type="spellEnd"/>
      <w:r>
        <w:rPr>
          <w:rFonts w:eastAsia="Times New Roman"/>
          <w:b/>
          <w:bCs/>
        </w:rPr>
        <w:t xml:space="preserve"> –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toliau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būdų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išbandėte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nebuvo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veiksmingas</w:t>
      </w:r>
      <w:proofErr w:type="spellEnd"/>
      <w:r>
        <w:rPr>
          <w:rFonts w:eastAsia="Times New Roman"/>
        </w:rPr>
        <w:t>:</w:t>
      </w:r>
    </w:p>
    <w:p w14:paraId="55A1CEDA" w14:textId="77777777" w:rsidR="00E13A29" w:rsidRDefault="00E13A29" w:rsidP="00E13A29">
      <w:pPr>
        <w:spacing w:line="1" w:lineRule="exact"/>
        <w:rPr>
          <w:sz w:val="20"/>
          <w:szCs w:val="20"/>
        </w:rPr>
      </w:pPr>
    </w:p>
    <w:p w14:paraId="3B8959FC" w14:textId="77777777" w:rsidR="00E13A29" w:rsidRDefault="00E13A29" w:rsidP="00E13A29">
      <w:pPr>
        <w:numPr>
          <w:ilvl w:val="1"/>
          <w:numId w:val="4"/>
        </w:numPr>
        <w:tabs>
          <w:tab w:val="left" w:pos="1126"/>
        </w:tabs>
        <w:ind w:left="1126" w:right="980" w:hanging="560"/>
        <w:rPr>
          <w:rFonts w:eastAsia="Times New Roman"/>
        </w:rPr>
      </w:pPr>
      <w:proofErr w:type="spellStart"/>
      <w:r>
        <w:rPr>
          <w:rFonts w:eastAsia="Times New Roman"/>
        </w:rPr>
        <w:t>fototerapija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gydymas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tam </w:t>
      </w:r>
      <w:proofErr w:type="spellStart"/>
      <w:r>
        <w:rPr>
          <w:rFonts w:eastAsia="Times New Roman"/>
        </w:rPr>
        <w:t>tikros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sritys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veikiamos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ultravioletiniais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spinduliais</w:t>
      </w:r>
      <w:proofErr w:type="spellEnd"/>
      <w:r>
        <w:rPr>
          <w:rFonts w:eastAsia="Times New Roman"/>
        </w:rPr>
        <w:t>;</w:t>
      </w:r>
      <w:proofErr w:type="gramEnd"/>
    </w:p>
    <w:p w14:paraId="1F4DFBC1" w14:textId="77777777" w:rsidR="00E13A29" w:rsidRDefault="00E13A29" w:rsidP="00E13A29">
      <w:pPr>
        <w:numPr>
          <w:ilvl w:val="1"/>
          <w:numId w:val="4"/>
        </w:numPr>
        <w:tabs>
          <w:tab w:val="left" w:pos="1126"/>
        </w:tabs>
        <w:spacing w:line="247" w:lineRule="auto"/>
        <w:ind w:left="1126" w:right="180" w:hanging="560"/>
        <w:rPr>
          <w:rFonts w:eastAsia="Times New Roman"/>
        </w:rPr>
      </w:pPr>
      <w:proofErr w:type="spellStart"/>
      <w:r>
        <w:rPr>
          <w:rFonts w:eastAsia="Times New Roman"/>
        </w:rPr>
        <w:t>sisteminė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terapija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gydymas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kūną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 ne</w:t>
      </w:r>
      <w:proofErr w:type="spellEnd"/>
      <w:r>
        <w:rPr>
          <w:rFonts w:eastAsia="Times New Roman"/>
        </w:rPr>
        <w:t xml:space="preserve"> tik </w:t>
      </w:r>
      <w:proofErr w:type="spellStart"/>
      <w:r>
        <w:rPr>
          <w:rFonts w:eastAsia="Times New Roman"/>
        </w:rPr>
        <w:t>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sritį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>., „</w:t>
      </w:r>
      <w:proofErr w:type="spellStart"/>
      <w:proofErr w:type="gramStart"/>
      <w:r>
        <w:rPr>
          <w:rFonts w:eastAsia="Times New Roman"/>
        </w:rPr>
        <w:t>ciklosporino</w:t>
      </w:r>
      <w:proofErr w:type="spellEnd"/>
      <w:r>
        <w:rPr>
          <w:rFonts w:eastAsia="Times New Roman"/>
        </w:rPr>
        <w:t>“</w:t>
      </w:r>
      <w:proofErr w:type="gramEnd"/>
      <w:r>
        <w:rPr>
          <w:rFonts w:eastAsia="Times New Roman"/>
        </w:rPr>
        <w:t>, „</w:t>
      </w:r>
      <w:proofErr w:type="spellStart"/>
      <w:r>
        <w:rPr>
          <w:rFonts w:eastAsia="Times New Roman"/>
        </w:rPr>
        <w:t>metotreksato</w:t>
      </w:r>
      <w:proofErr w:type="spellEnd"/>
      <w:r>
        <w:rPr>
          <w:rFonts w:eastAsia="Times New Roman"/>
        </w:rPr>
        <w:t xml:space="preserve">“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„</w:t>
      </w:r>
      <w:proofErr w:type="spellStart"/>
      <w:r>
        <w:rPr>
          <w:rFonts w:eastAsia="Times New Roman"/>
        </w:rPr>
        <w:t>psoraleno</w:t>
      </w:r>
      <w:proofErr w:type="spellEnd"/>
      <w:r>
        <w:rPr>
          <w:rFonts w:eastAsia="Times New Roman"/>
        </w:rPr>
        <w:t>“.</w:t>
      </w:r>
    </w:p>
    <w:p w14:paraId="0DBFE179" w14:textId="77777777" w:rsidR="00E13A29" w:rsidRDefault="00E13A29" w:rsidP="00E13A29">
      <w:pPr>
        <w:spacing w:line="1" w:lineRule="exact"/>
        <w:rPr>
          <w:rFonts w:eastAsia="Times New Roman"/>
        </w:rPr>
      </w:pPr>
    </w:p>
    <w:p w14:paraId="1539A7F1" w14:textId="77777777" w:rsidR="00E13A29" w:rsidRDefault="00E13A29" w:rsidP="00E13A29">
      <w:pPr>
        <w:ind w:left="6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Bechčeto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liga</w:t>
      </w:r>
      <w:proofErr w:type="spellEnd"/>
      <w:r>
        <w:rPr>
          <w:rFonts w:eastAsia="Times New Roman"/>
          <w:b/>
          <w:bCs/>
        </w:rPr>
        <w:t xml:space="preserve"> (BL) </w:t>
      </w:r>
      <w:r>
        <w:rPr>
          <w:rFonts w:eastAsia="Times New Roman"/>
        </w:rPr>
        <w:t xml:space="preserve">– </w:t>
      </w:r>
      <w:proofErr w:type="spellStart"/>
      <w:r>
        <w:rPr>
          <w:rFonts w:eastAsia="Times New Roman"/>
        </w:rPr>
        <w:t>burnos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opoms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 xml:space="preserve">; tai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dažna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sergančių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problema</w:t>
      </w:r>
      <w:proofErr w:type="spellEnd"/>
      <w:r>
        <w:rPr>
          <w:rFonts w:eastAsia="Times New Roman"/>
        </w:rPr>
        <w:t>.</w:t>
      </w:r>
    </w:p>
    <w:p w14:paraId="5FEC78E1" w14:textId="77777777" w:rsidR="00E13A29" w:rsidRDefault="00E13A29" w:rsidP="00E13A29">
      <w:pPr>
        <w:spacing w:line="248" w:lineRule="exact"/>
        <w:rPr>
          <w:sz w:val="20"/>
          <w:szCs w:val="20"/>
        </w:rPr>
      </w:pPr>
    </w:p>
    <w:p w14:paraId="0DE62FA6" w14:textId="77777777" w:rsidR="00E13A29" w:rsidRDefault="00E13A29" w:rsidP="00E13A29">
      <w:pPr>
        <w:ind w:left="6"/>
        <w:rPr>
          <w:sz w:val="20"/>
          <w:szCs w:val="20"/>
        </w:rPr>
      </w:pPr>
      <w:r>
        <w:rPr>
          <w:rFonts w:eastAsia="Times New Roman"/>
          <w:b/>
          <w:bCs/>
        </w:rPr>
        <w:t xml:space="preserve">Kas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psoriazinis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artritas</w:t>
      </w:r>
      <w:proofErr w:type="spellEnd"/>
    </w:p>
    <w:p w14:paraId="52BEB9F6" w14:textId="77777777" w:rsidR="00E13A29" w:rsidRDefault="00E13A29" w:rsidP="00E13A29">
      <w:pPr>
        <w:spacing w:line="257" w:lineRule="exact"/>
        <w:rPr>
          <w:sz w:val="20"/>
          <w:szCs w:val="20"/>
        </w:rPr>
      </w:pPr>
    </w:p>
    <w:p w14:paraId="79F0F738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</w:rPr>
        <w:t>Psoriazinis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artritas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sąnarių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paprastai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lydi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psoriazė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uždegiminė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>.</w:t>
      </w:r>
    </w:p>
    <w:p w14:paraId="2C490BEB" w14:textId="77777777" w:rsidR="00E13A29" w:rsidRDefault="00E13A29" w:rsidP="00E13A29">
      <w:pPr>
        <w:spacing w:line="249" w:lineRule="exact"/>
        <w:rPr>
          <w:sz w:val="20"/>
          <w:szCs w:val="20"/>
        </w:rPr>
      </w:pPr>
    </w:p>
    <w:p w14:paraId="095AF17E" w14:textId="77777777" w:rsidR="00E13A29" w:rsidRDefault="00E13A29" w:rsidP="00E13A29">
      <w:pPr>
        <w:ind w:left="6"/>
        <w:rPr>
          <w:sz w:val="20"/>
          <w:szCs w:val="20"/>
        </w:rPr>
      </w:pPr>
      <w:r>
        <w:rPr>
          <w:rFonts w:eastAsia="Times New Roman"/>
          <w:b/>
          <w:bCs/>
        </w:rPr>
        <w:t xml:space="preserve">Kas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paprastoji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psoriazė</w:t>
      </w:r>
      <w:proofErr w:type="spellEnd"/>
    </w:p>
    <w:p w14:paraId="00EF2E51" w14:textId="77777777" w:rsidR="00E13A29" w:rsidRDefault="00E13A29" w:rsidP="00E13A29">
      <w:pPr>
        <w:spacing w:line="256" w:lineRule="exact"/>
        <w:rPr>
          <w:sz w:val="20"/>
          <w:szCs w:val="20"/>
        </w:rPr>
      </w:pPr>
    </w:p>
    <w:p w14:paraId="72D08E19" w14:textId="77777777" w:rsidR="00E13A29" w:rsidRDefault="00E13A29" w:rsidP="00E13A29">
      <w:pPr>
        <w:spacing w:line="271" w:lineRule="auto"/>
        <w:ind w:left="6" w:right="560"/>
        <w:rPr>
          <w:sz w:val="20"/>
          <w:szCs w:val="20"/>
        </w:rPr>
      </w:pPr>
      <w:proofErr w:type="spellStart"/>
      <w:r>
        <w:rPr>
          <w:rFonts w:eastAsia="Times New Roman"/>
        </w:rPr>
        <w:t>Psoriazė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kurios</w:t>
      </w:r>
      <w:proofErr w:type="spellEnd"/>
      <w:r>
        <w:rPr>
          <w:rFonts w:eastAsia="Times New Roman"/>
        </w:rPr>
        <w:t xml:space="preserve"> ant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atsirasti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raudoni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žvynuoti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stori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niežintys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skausmingi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lopai</w:t>
      </w:r>
      <w:proofErr w:type="spellEnd"/>
      <w:r>
        <w:rPr>
          <w:rFonts w:eastAsia="Times New Roman"/>
        </w:rPr>
        <w:t xml:space="preserve">, ji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pažeisti</w:t>
      </w:r>
      <w:proofErr w:type="spellEnd"/>
      <w:r>
        <w:rPr>
          <w:rFonts w:eastAsia="Times New Roman"/>
        </w:rPr>
        <w:t xml:space="preserve"> galvos </w:t>
      </w:r>
      <w:proofErr w:type="spellStart"/>
      <w:r>
        <w:rPr>
          <w:rFonts w:eastAsia="Times New Roman"/>
        </w:rPr>
        <w:t>odą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nagus</w:t>
      </w:r>
      <w:proofErr w:type="spellEnd"/>
      <w:r>
        <w:rPr>
          <w:rFonts w:eastAsia="Times New Roman"/>
        </w:rPr>
        <w:t>.</w:t>
      </w:r>
    </w:p>
    <w:p w14:paraId="45E84986" w14:textId="77777777" w:rsidR="00E13A29" w:rsidRDefault="00E13A29" w:rsidP="00E13A29">
      <w:pPr>
        <w:sectPr w:rsidR="00E13A29">
          <w:pgSz w:w="11900" w:h="16840"/>
          <w:pgMar w:top="1115" w:right="1224" w:bottom="183" w:left="1134" w:header="0" w:footer="0" w:gutter="0"/>
          <w:cols w:space="720" w:equalWidth="0">
            <w:col w:w="9546"/>
          </w:cols>
        </w:sectPr>
      </w:pPr>
    </w:p>
    <w:p w14:paraId="7B596308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2F392371" w14:textId="77777777" w:rsidR="00E13A29" w:rsidRDefault="00E13A29" w:rsidP="00E13A29">
      <w:pPr>
        <w:spacing w:line="310" w:lineRule="exact"/>
        <w:rPr>
          <w:sz w:val="20"/>
          <w:szCs w:val="20"/>
        </w:rPr>
      </w:pPr>
    </w:p>
    <w:p w14:paraId="3E117181" w14:textId="77777777" w:rsidR="00E13A29" w:rsidRDefault="00E13A29" w:rsidP="00E13A29">
      <w:pPr>
        <w:ind w:right="-85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34</w:t>
      </w:r>
    </w:p>
    <w:p w14:paraId="3E3C3855" w14:textId="77777777" w:rsidR="00E13A29" w:rsidRDefault="00E13A29" w:rsidP="00E13A29">
      <w:pPr>
        <w:sectPr w:rsidR="00E13A29">
          <w:type w:val="continuous"/>
          <w:pgSz w:w="11900" w:h="16840"/>
          <w:pgMar w:top="1115" w:right="1224" w:bottom="183" w:left="1134" w:header="0" w:footer="0" w:gutter="0"/>
          <w:cols w:space="720" w:equalWidth="0">
            <w:col w:w="9546"/>
          </w:cols>
        </w:sectPr>
      </w:pPr>
    </w:p>
    <w:p w14:paraId="2749DFE2" w14:textId="77777777" w:rsidR="00E13A29" w:rsidRDefault="00E13A29" w:rsidP="00E13A29">
      <w:pPr>
        <w:ind w:left="6"/>
        <w:rPr>
          <w:sz w:val="20"/>
          <w:szCs w:val="20"/>
        </w:rPr>
      </w:pPr>
      <w:bookmarkStart w:id="1" w:name="page35"/>
      <w:bookmarkEnd w:id="1"/>
      <w:r>
        <w:rPr>
          <w:rFonts w:eastAsia="Times New Roman"/>
          <w:b/>
          <w:bCs/>
        </w:rPr>
        <w:lastRenderedPageBreak/>
        <w:t xml:space="preserve">Kas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Bechčeto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liga</w:t>
      </w:r>
      <w:proofErr w:type="spellEnd"/>
    </w:p>
    <w:p w14:paraId="581EB41F" w14:textId="77777777" w:rsidR="00E13A29" w:rsidRDefault="00E13A29" w:rsidP="00E13A29">
      <w:pPr>
        <w:spacing w:line="256" w:lineRule="exact"/>
        <w:rPr>
          <w:sz w:val="20"/>
          <w:szCs w:val="20"/>
        </w:rPr>
      </w:pPr>
    </w:p>
    <w:p w14:paraId="2CF0ECFE" w14:textId="77777777" w:rsidR="00E13A29" w:rsidRDefault="00E13A29" w:rsidP="00E13A29">
      <w:pPr>
        <w:spacing w:line="271" w:lineRule="auto"/>
        <w:ind w:left="6" w:right="500"/>
        <w:rPr>
          <w:sz w:val="20"/>
          <w:szCs w:val="20"/>
        </w:rPr>
      </w:pPr>
      <w:proofErr w:type="spellStart"/>
      <w:r>
        <w:rPr>
          <w:rFonts w:eastAsia="Times New Roman"/>
        </w:rPr>
        <w:t>Bechčeto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paveikianti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daugelį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dalių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Dažniausia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problema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burnos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opos</w:t>
      </w:r>
      <w:proofErr w:type="spellEnd"/>
      <w:r>
        <w:rPr>
          <w:rFonts w:eastAsia="Times New Roman"/>
        </w:rPr>
        <w:t>.</w:t>
      </w:r>
    </w:p>
    <w:p w14:paraId="31C09D0C" w14:textId="77777777" w:rsidR="00E13A29" w:rsidRDefault="00E13A29" w:rsidP="00E13A29">
      <w:pPr>
        <w:spacing w:line="184" w:lineRule="exact"/>
        <w:rPr>
          <w:sz w:val="20"/>
          <w:szCs w:val="20"/>
        </w:rPr>
      </w:pPr>
    </w:p>
    <w:p w14:paraId="4555A7DB" w14:textId="77777777" w:rsidR="00E13A29" w:rsidRDefault="00E13A29" w:rsidP="00E13A29">
      <w:pPr>
        <w:ind w:left="6"/>
        <w:rPr>
          <w:sz w:val="20"/>
          <w:szCs w:val="20"/>
        </w:r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veikia</w:t>
      </w:r>
      <w:proofErr w:type="spellEnd"/>
      <w:r>
        <w:rPr>
          <w:rFonts w:eastAsia="Times New Roman"/>
          <w:b/>
          <w:bCs/>
        </w:rPr>
        <w:t xml:space="preserve"> Otezla</w:t>
      </w:r>
    </w:p>
    <w:p w14:paraId="021555E1" w14:textId="77777777" w:rsidR="00E13A29" w:rsidRDefault="00E13A29" w:rsidP="00E13A29">
      <w:pPr>
        <w:spacing w:line="257" w:lineRule="exact"/>
        <w:rPr>
          <w:sz w:val="20"/>
          <w:szCs w:val="20"/>
        </w:rPr>
      </w:pPr>
    </w:p>
    <w:p w14:paraId="078C39A3" w14:textId="77777777" w:rsidR="00E13A29" w:rsidRDefault="00E13A29" w:rsidP="00E13A29">
      <w:pPr>
        <w:spacing w:line="265" w:lineRule="auto"/>
        <w:ind w:left="6" w:right="22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Psoriazinis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artritas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psoriaz</w:t>
      </w:r>
      <w:proofErr w:type="spellEnd"/>
      <w:r>
        <w:rPr>
          <w:rFonts w:eastAsia="Times New Roman"/>
          <w:sz w:val="21"/>
          <w:szCs w:val="21"/>
        </w:rPr>
        <w:t xml:space="preserve"> ė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Bechčeto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liga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paprastai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trunka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visą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gyvenimą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kol</w:t>
      </w:r>
      <w:proofErr w:type="spellEnd"/>
      <w:r>
        <w:rPr>
          <w:rFonts w:eastAsia="Times New Roman"/>
          <w:sz w:val="21"/>
          <w:szCs w:val="21"/>
        </w:rPr>
        <w:t xml:space="preserve"> kas </w:t>
      </w:r>
      <w:proofErr w:type="spellStart"/>
      <w:r>
        <w:rPr>
          <w:rFonts w:eastAsia="Times New Roman"/>
          <w:sz w:val="21"/>
          <w:szCs w:val="21"/>
        </w:rPr>
        <w:t>nėra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išgydomos</w:t>
      </w:r>
      <w:proofErr w:type="spellEnd"/>
      <w:r>
        <w:rPr>
          <w:rFonts w:eastAsia="Times New Roman"/>
          <w:sz w:val="21"/>
          <w:szCs w:val="21"/>
        </w:rPr>
        <w:t xml:space="preserve">. Otezla </w:t>
      </w:r>
      <w:proofErr w:type="spellStart"/>
      <w:r>
        <w:rPr>
          <w:rFonts w:eastAsia="Times New Roman"/>
          <w:sz w:val="21"/>
          <w:szCs w:val="21"/>
        </w:rPr>
        <w:t>veikia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mažindamas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organizmo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fermento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vadinamo</w:t>
      </w:r>
      <w:proofErr w:type="spellEnd"/>
      <w:r>
        <w:rPr>
          <w:rFonts w:eastAsia="Times New Roman"/>
          <w:sz w:val="21"/>
          <w:szCs w:val="21"/>
        </w:rPr>
        <w:t xml:space="preserve"> „</w:t>
      </w:r>
      <w:proofErr w:type="spellStart"/>
      <w:r>
        <w:rPr>
          <w:rFonts w:eastAsia="Times New Roman"/>
          <w:sz w:val="21"/>
          <w:szCs w:val="21"/>
        </w:rPr>
        <w:t>fosfodiesteraze</w:t>
      </w:r>
      <w:proofErr w:type="spellEnd"/>
      <w:r>
        <w:rPr>
          <w:rFonts w:eastAsia="Times New Roman"/>
          <w:sz w:val="21"/>
          <w:szCs w:val="21"/>
        </w:rPr>
        <w:t xml:space="preserve"> 4“, </w:t>
      </w:r>
      <w:proofErr w:type="spellStart"/>
      <w:r>
        <w:rPr>
          <w:rFonts w:eastAsia="Times New Roman"/>
          <w:sz w:val="21"/>
          <w:szCs w:val="21"/>
        </w:rPr>
        <w:t>dalyvaujančio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uždegimo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procese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aktyvumą</w:t>
      </w:r>
      <w:proofErr w:type="spellEnd"/>
      <w:r>
        <w:rPr>
          <w:rFonts w:eastAsia="Times New Roman"/>
          <w:sz w:val="21"/>
          <w:szCs w:val="21"/>
        </w:rPr>
        <w:t xml:space="preserve">. </w:t>
      </w:r>
      <w:proofErr w:type="spellStart"/>
      <w:r>
        <w:rPr>
          <w:rFonts w:eastAsia="Times New Roman"/>
          <w:sz w:val="21"/>
          <w:szCs w:val="21"/>
        </w:rPr>
        <w:t>Mažindamas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fermento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aktyvumą</w:t>
      </w:r>
      <w:proofErr w:type="spellEnd"/>
      <w:r>
        <w:rPr>
          <w:rFonts w:eastAsia="Times New Roman"/>
          <w:sz w:val="21"/>
          <w:szCs w:val="21"/>
        </w:rPr>
        <w:t xml:space="preserve">, Otezla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pad </w:t>
      </w:r>
      <w:proofErr w:type="spellStart"/>
      <w:r>
        <w:rPr>
          <w:rFonts w:eastAsia="Times New Roman"/>
          <w:sz w:val="21"/>
          <w:szCs w:val="21"/>
        </w:rPr>
        <w:t>ėti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kontroliuoti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uždegimą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susijusį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psoriaziniu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artritu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psoriaze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Bechčeto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liga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taip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mažinti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būklių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požymius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bei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simptomus</w:t>
      </w:r>
      <w:proofErr w:type="spellEnd"/>
      <w:r>
        <w:rPr>
          <w:rFonts w:eastAsia="Times New Roman"/>
          <w:sz w:val="21"/>
          <w:szCs w:val="21"/>
        </w:rPr>
        <w:t>.</w:t>
      </w:r>
    </w:p>
    <w:p w14:paraId="298BCBBB" w14:textId="77777777" w:rsidR="00E13A29" w:rsidRDefault="00E13A29" w:rsidP="00E13A29">
      <w:pPr>
        <w:spacing w:line="198" w:lineRule="exact"/>
        <w:rPr>
          <w:sz w:val="20"/>
          <w:szCs w:val="20"/>
        </w:rPr>
      </w:pPr>
    </w:p>
    <w:p w14:paraId="7313812A" w14:textId="77777777" w:rsidR="00E13A29" w:rsidRDefault="00E13A29" w:rsidP="00E13A29">
      <w:pPr>
        <w:spacing w:line="270" w:lineRule="auto"/>
        <w:ind w:left="6" w:right="200"/>
        <w:rPr>
          <w:sz w:val="20"/>
          <w:szCs w:val="20"/>
        </w:rPr>
      </w:pPr>
      <w:proofErr w:type="spellStart"/>
      <w:r>
        <w:rPr>
          <w:rFonts w:eastAsia="Times New Roman"/>
        </w:rPr>
        <w:t>Sergant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psoriaziniu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artritu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gydymas</w:t>
      </w:r>
      <w:proofErr w:type="spellEnd"/>
      <w:r>
        <w:rPr>
          <w:rFonts w:eastAsia="Times New Roman"/>
        </w:rPr>
        <w:t xml:space="preserve"> Otezla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pagerinti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patinusių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skausmingų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sąnarių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būklę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bendrą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fizinę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būklę</w:t>
      </w:r>
      <w:proofErr w:type="spellEnd"/>
      <w:r>
        <w:rPr>
          <w:rFonts w:eastAsia="Times New Roman"/>
        </w:rPr>
        <w:t>.</w:t>
      </w:r>
    </w:p>
    <w:p w14:paraId="4E4F1AB6" w14:textId="77777777" w:rsidR="00E13A29" w:rsidRDefault="00E13A29" w:rsidP="00E13A29">
      <w:pPr>
        <w:spacing w:line="189" w:lineRule="exact"/>
        <w:rPr>
          <w:sz w:val="20"/>
          <w:szCs w:val="20"/>
        </w:rPr>
      </w:pPr>
    </w:p>
    <w:p w14:paraId="4BC0904F" w14:textId="77777777" w:rsidR="00E13A29" w:rsidRDefault="00E13A29" w:rsidP="00E13A29">
      <w:pPr>
        <w:spacing w:line="271" w:lineRule="auto"/>
        <w:ind w:left="6"/>
        <w:rPr>
          <w:sz w:val="20"/>
          <w:szCs w:val="20"/>
        </w:rPr>
      </w:pPr>
      <w:proofErr w:type="spellStart"/>
      <w:r>
        <w:rPr>
          <w:rFonts w:eastAsia="Times New Roman"/>
        </w:rPr>
        <w:t>Sergant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psoriaze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gydymas</w:t>
      </w:r>
      <w:proofErr w:type="spellEnd"/>
      <w:r>
        <w:rPr>
          <w:rFonts w:eastAsia="Times New Roman"/>
        </w:rPr>
        <w:t xml:space="preserve"> Otezla </w:t>
      </w:r>
      <w:proofErr w:type="spellStart"/>
      <w:r>
        <w:rPr>
          <w:rFonts w:eastAsia="Times New Roman"/>
        </w:rPr>
        <w:t>sumažina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psoriazės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pažeistos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židinius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simptomus</w:t>
      </w:r>
      <w:proofErr w:type="spellEnd"/>
      <w:r>
        <w:rPr>
          <w:rFonts w:eastAsia="Times New Roman"/>
        </w:rPr>
        <w:t>.</w:t>
      </w:r>
    </w:p>
    <w:p w14:paraId="356CF886" w14:textId="77777777" w:rsidR="00E13A29" w:rsidRDefault="00E13A29" w:rsidP="00E13A29">
      <w:pPr>
        <w:spacing w:line="187" w:lineRule="exact"/>
        <w:rPr>
          <w:sz w:val="20"/>
          <w:szCs w:val="20"/>
        </w:rPr>
      </w:pPr>
    </w:p>
    <w:p w14:paraId="3086EDA5" w14:textId="77777777" w:rsidR="00E13A29" w:rsidRDefault="00E13A29" w:rsidP="00E13A29">
      <w:pPr>
        <w:spacing w:line="271" w:lineRule="auto"/>
        <w:ind w:left="6" w:right="140"/>
        <w:rPr>
          <w:sz w:val="20"/>
          <w:szCs w:val="20"/>
        </w:rPr>
      </w:pPr>
      <w:proofErr w:type="spellStart"/>
      <w:r>
        <w:rPr>
          <w:rFonts w:eastAsia="Times New Roman"/>
        </w:rPr>
        <w:t>Bechčeto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atveju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gydymas</w:t>
      </w:r>
      <w:proofErr w:type="spellEnd"/>
      <w:r>
        <w:rPr>
          <w:rFonts w:eastAsia="Times New Roman"/>
        </w:rPr>
        <w:t xml:space="preserve"> Otezla </w:t>
      </w:r>
      <w:proofErr w:type="spellStart"/>
      <w:r>
        <w:rPr>
          <w:rFonts w:eastAsia="Times New Roman"/>
        </w:rPr>
        <w:t>sumažina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burnos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skaičių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visiškai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išgydyti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sumažinti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susijusį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skausmą</w:t>
      </w:r>
      <w:proofErr w:type="spellEnd"/>
      <w:r>
        <w:rPr>
          <w:rFonts w:eastAsia="Times New Roman"/>
        </w:rPr>
        <w:t>.</w:t>
      </w:r>
    </w:p>
    <w:p w14:paraId="435798ED" w14:textId="77777777" w:rsidR="00E13A29" w:rsidRDefault="00E13A29" w:rsidP="00E13A29">
      <w:pPr>
        <w:spacing w:line="188" w:lineRule="exact"/>
        <w:rPr>
          <w:sz w:val="20"/>
          <w:szCs w:val="20"/>
        </w:rPr>
      </w:pPr>
    </w:p>
    <w:p w14:paraId="1292889A" w14:textId="77777777" w:rsidR="00E13A29" w:rsidRDefault="00E13A29" w:rsidP="00E13A29">
      <w:pPr>
        <w:spacing w:line="255" w:lineRule="auto"/>
        <w:ind w:left="6" w:right="300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Nustatyta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Otezla </w:t>
      </w:r>
      <w:proofErr w:type="spellStart"/>
      <w:r>
        <w:rPr>
          <w:rFonts w:eastAsia="Times New Roman"/>
        </w:rPr>
        <w:t>pagerina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psoriaze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psoriaziniu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artritu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Bechčeto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sergančių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pacientų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gyvenimo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kokybę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reiškia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kasdienei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veiklai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santykiams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veiksniams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turėtų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mažesnis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tai.</w:t>
      </w:r>
    </w:p>
    <w:p w14:paraId="1A8F40E2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04B8D5C7" w14:textId="77777777" w:rsidR="00E13A29" w:rsidRDefault="00E13A29" w:rsidP="00E13A29">
      <w:pPr>
        <w:spacing w:line="254" w:lineRule="exact"/>
        <w:rPr>
          <w:sz w:val="20"/>
          <w:szCs w:val="20"/>
        </w:rPr>
      </w:pPr>
    </w:p>
    <w:p w14:paraId="41EDE532" w14:textId="77777777" w:rsidR="00E13A29" w:rsidRDefault="00E13A29" w:rsidP="00E13A29">
      <w:pPr>
        <w:numPr>
          <w:ilvl w:val="0"/>
          <w:numId w:val="5"/>
        </w:numPr>
        <w:tabs>
          <w:tab w:val="left" w:pos="574"/>
        </w:tabs>
        <w:spacing w:line="488" w:lineRule="auto"/>
        <w:ind w:left="6" w:right="5760" w:hanging="6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Kas </w:t>
      </w:r>
      <w:proofErr w:type="spellStart"/>
      <w:r>
        <w:rPr>
          <w:rFonts w:eastAsia="Times New Roman"/>
          <w:b/>
          <w:bCs/>
        </w:rPr>
        <w:t>žinotina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vartojant</w:t>
      </w:r>
      <w:proofErr w:type="spellEnd"/>
      <w:r>
        <w:rPr>
          <w:rFonts w:eastAsia="Times New Roman"/>
          <w:b/>
          <w:bCs/>
        </w:rPr>
        <w:t xml:space="preserve"> Otezla </w:t>
      </w:r>
      <w:proofErr w:type="spellStart"/>
      <w:r>
        <w:rPr>
          <w:rFonts w:eastAsia="Times New Roman"/>
          <w:b/>
          <w:bCs/>
        </w:rPr>
        <w:t>Otezla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negalima</w:t>
      </w:r>
      <w:proofErr w:type="spellEnd"/>
    </w:p>
    <w:p w14:paraId="5E7E87F4" w14:textId="77777777" w:rsidR="00E13A29" w:rsidRDefault="00E13A29" w:rsidP="00E13A29">
      <w:pPr>
        <w:spacing w:line="1" w:lineRule="exact"/>
        <w:rPr>
          <w:sz w:val="20"/>
          <w:szCs w:val="20"/>
        </w:rPr>
      </w:pPr>
    </w:p>
    <w:p w14:paraId="37327ED9" w14:textId="77777777" w:rsidR="00E13A29" w:rsidRDefault="00E13A29" w:rsidP="00E13A29">
      <w:pPr>
        <w:spacing w:line="248" w:lineRule="auto"/>
        <w:ind w:left="566" w:right="940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apremilastui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bet </w:t>
      </w:r>
      <w:proofErr w:type="spellStart"/>
      <w:r>
        <w:rPr>
          <w:rFonts w:eastAsia="Times New Roman"/>
        </w:rPr>
        <w:t>kuriai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pagalbinei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medžiagai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išvardytos</w:t>
      </w:r>
      <w:proofErr w:type="spellEnd"/>
      <w:r>
        <w:rPr>
          <w:rFonts w:eastAsia="Times New Roman"/>
        </w:rPr>
        <w:t xml:space="preserve"> 6 </w:t>
      </w:r>
      <w:proofErr w:type="spellStart"/>
      <w:r>
        <w:rPr>
          <w:rFonts w:eastAsia="Times New Roman"/>
        </w:rPr>
        <w:t>skyriuje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27391131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nėščia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manote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galbūt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nėščia</w:t>
      </w:r>
      <w:proofErr w:type="spellEnd"/>
      <w:r>
        <w:rPr>
          <w:rFonts w:eastAsia="Times New Roman"/>
        </w:rPr>
        <w:t>.</w:t>
      </w:r>
    </w:p>
    <w:p w14:paraId="53554DC8" w14:textId="77777777" w:rsidR="00E13A29" w:rsidRDefault="00E13A29" w:rsidP="00E13A29">
      <w:pPr>
        <w:spacing w:line="249" w:lineRule="exact"/>
        <w:rPr>
          <w:sz w:val="20"/>
          <w:szCs w:val="20"/>
        </w:rPr>
      </w:pPr>
    </w:p>
    <w:p w14:paraId="0A95C85A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Įspėjimai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atsargumo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priemonės</w:t>
      </w:r>
      <w:proofErr w:type="spellEnd"/>
    </w:p>
    <w:p w14:paraId="2F33DE3E" w14:textId="77777777" w:rsidR="00E13A29" w:rsidRDefault="00E13A29" w:rsidP="00E13A29">
      <w:pPr>
        <w:spacing w:line="256" w:lineRule="exact"/>
        <w:rPr>
          <w:sz w:val="20"/>
          <w:szCs w:val="20"/>
        </w:rPr>
      </w:pPr>
    </w:p>
    <w:p w14:paraId="73E1B72E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Otezla.</w:t>
      </w:r>
    </w:p>
    <w:p w14:paraId="353D4491" w14:textId="77777777" w:rsidR="00E13A29" w:rsidRDefault="00E13A29" w:rsidP="00E13A29">
      <w:pPr>
        <w:spacing w:line="249" w:lineRule="exact"/>
        <w:rPr>
          <w:sz w:val="20"/>
          <w:szCs w:val="20"/>
        </w:rPr>
      </w:pPr>
    </w:p>
    <w:p w14:paraId="0A7C3509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Depresija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mintys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apie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savižudybę</w:t>
      </w:r>
      <w:proofErr w:type="spellEnd"/>
    </w:p>
    <w:p w14:paraId="5A0B6340" w14:textId="77777777" w:rsidR="00E13A29" w:rsidRDefault="00E13A29" w:rsidP="00E13A29">
      <w:pPr>
        <w:spacing w:line="257" w:lineRule="exact"/>
        <w:rPr>
          <w:sz w:val="20"/>
          <w:szCs w:val="20"/>
        </w:rPr>
      </w:pPr>
    </w:p>
    <w:p w14:paraId="01EB64F2" w14:textId="77777777" w:rsidR="00E13A29" w:rsidRDefault="00E13A29" w:rsidP="00E13A29">
      <w:pPr>
        <w:spacing w:line="271" w:lineRule="auto"/>
        <w:ind w:left="6" w:right="140"/>
        <w:rPr>
          <w:sz w:val="20"/>
          <w:szCs w:val="20"/>
        </w:rPr>
      </w:pP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Otezla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sergate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depresija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sunkėja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minčių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savižudybę</w:t>
      </w:r>
      <w:proofErr w:type="spellEnd"/>
      <w:r>
        <w:rPr>
          <w:rFonts w:eastAsia="Times New Roman"/>
        </w:rPr>
        <w:t>.</w:t>
      </w:r>
    </w:p>
    <w:p w14:paraId="3E8C5176" w14:textId="77777777" w:rsidR="00E13A29" w:rsidRDefault="00E13A29" w:rsidP="00E13A29">
      <w:pPr>
        <w:spacing w:line="187" w:lineRule="exact"/>
        <w:rPr>
          <w:sz w:val="20"/>
          <w:szCs w:val="20"/>
        </w:rPr>
      </w:pPr>
    </w:p>
    <w:p w14:paraId="281DE287" w14:textId="77777777" w:rsidR="00E13A29" w:rsidRDefault="00E13A29" w:rsidP="00E13A29">
      <w:pPr>
        <w:spacing w:line="295" w:lineRule="auto"/>
        <w:ind w:left="6" w:right="480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Jūs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arba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Jūsų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globėjas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taip</w:t>
      </w:r>
      <w:proofErr w:type="spellEnd"/>
      <w:r>
        <w:rPr>
          <w:rFonts w:eastAsia="Times New Roman"/>
          <w:sz w:val="21"/>
          <w:szCs w:val="21"/>
        </w:rPr>
        <w:t xml:space="preserve"> pat </w:t>
      </w:r>
      <w:proofErr w:type="spellStart"/>
      <w:r>
        <w:rPr>
          <w:rFonts w:eastAsia="Times New Roman"/>
          <w:sz w:val="21"/>
          <w:szCs w:val="21"/>
        </w:rPr>
        <w:t>turėtumėte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nedelsdami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pasakyti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gydytojui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apie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visus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elgesio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nuotaikos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pokyčius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depresijos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jausmą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visas </w:t>
      </w:r>
      <w:proofErr w:type="spellStart"/>
      <w:r>
        <w:rPr>
          <w:rFonts w:eastAsia="Times New Roman"/>
          <w:sz w:val="21"/>
          <w:szCs w:val="21"/>
        </w:rPr>
        <w:t>mintis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apie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savižudybę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kurios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gali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kilti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suvartojus</w:t>
      </w:r>
      <w:proofErr w:type="spellEnd"/>
      <w:r>
        <w:rPr>
          <w:rFonts w:eastAsia="Times New Roman"/>
          <w:sz w:val="21"/>
          <w:szCs w:val="21"/>
        </w:rPr>
        <w:t xml:space="preserve"> Otezla.</w:t>
      </w:r>
    </w:p>
    <w:p w14:paraId="1D882A8A" w14:textId="77777777" w:rsidR="00E13A29" w:rsidRDefault="00E13A29" w:rsidP="00E13A29">
      <w:pPr>
        <w:spacing w:line="162" w:lineRule="exact"/>
        <w:rPr>
          <w:sz w:val="20"/>
          <w:szCs w:val="20"/>
        </w:rPr>
      </w:pPr>
    </w:p>
    <w:p w14:paraId="0BD4AD47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Sunkūs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inkstų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sutrikimai</w:t>
      </w:r>
      <w:proofErr w:type="spellEnd"/>
    </w:p>
    <w:p w14:paraId="790838A8" w14:textId="77777777" w:rsidR="00E13A29" w:rsidRDefault="00E13A29" w:rsidP="00E13A29">
      <w:pPr>
        <w:spacing w:line="256" w:lineRule="exact"/>
        <w:rPr>
          <w:sz w:val="20"/>
          <w:szCs w:val="20"/>
        </w:rPr>
      </w:pPr>
    </w:p>
    <w:p w14:paraId="4B728A41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bus </w:t>
      </w:r>
      <w:proofErr w:type="spellStart"/>
      <w:r>
        <w:rPr>
          <w:rFonts w:eastAsia="Times New Roman"/>
        </w:rPr>
        <w:t>kitokia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žr</w:t>
      </w:r>
      <w:proofErr w:type="spellEnd"/>
      <w:r>
        <w:rPr>
          <w:rFonts w:eastAsia="Times New Roman"/>
        </w:rPr>
        <w:t xml:space="preserve">. 3 </w:t>
      </w:r>
      <w:proofErr w:type="spellStart"/>
      <w:r>
        <w:rPr>
          <w:rFonts w:eastAsia="Times New Roman"/>
        </w:rPr>
        <w:t>skyrių</w:t>
      </w:r>
      <w:proofErr w:type="spellEnd"/>
      <w:r>
        <w:rPr>
          <w:rFonts w:eastAsia="Times New Roman"/>
        </w:rPr>
        <w:t>.</w:t>
      </w:r>
    </w:p>
    <w:p w14:paraId="042EB7F5" w14:textId="77777777" w:rsidR="00E13A29" w:rsidRDefault="00E13A29" w:rsidP="00E13A29">
      <w:pPr>
        <w:spacing w:line="249" w:lineRule="exact"/>
        <w:rPr>
          <w:sz w:val="20"/>
          <w:szCs w:val="20"/>
        </w:rPr>
      </w:pPr>
    </w:p>
    <w:p w14:paraId="0F53EB67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Jei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Jūsų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svoris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nepakankamas</w:t>
      </w:r>
      <w:proofErr w:type="spellEnd"/>
    </w:p>
    <w:p w14:paraId="217A8724" w14:textId="77777777" w:rsidR="00E13A29" w:rsidRDefault="00E13A29" w:rsidP="00E13A29">
      <w:pPr>
        <w:spacing w:line="258" w:lineRule="exact"/>
        <w:rPr>
          <w:sz w:val="20"/>
          <w:szCs w:val="20"/>
        </w:rPr>
      </w:pPr>
    </w:p>
    <w:p w14:paraId="749F36CF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</w:rPr>
        <w:t>Vartodami</w:t>
      </w:r>
      <w:proofErr w:type="spellEnd"/>
      <w:r>
        <w:rPr>
          <w:rFonts w:eastAsia="Times New Roman"/>
        </w:rPr>
        <w:t xml:space="preserve"> Otezla, </w:t>
      </w:r>
      <w:proofErr w:type="spellStart"/>
      <w:r>
        <w:rPr>
          <w:rFonts w:eastAsia="Times New Roman"/>
        </w:rPr>
        <w:t>pasikonsultuokite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numesite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svorio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neketindami</w:t>
      </w:r>
      <w:proofErr w:type="spellEnd"/>
      <w:r>
        <w:rPr>
          <w:rFonts w:eastAsia="Times New Roman"/>
        </w:rPr>
        <w:t>.</w:t>
      </w:r>
    </w:p>
    <w:p w14:paraId="1B068F06" w14:textId="77777777" w:rsidR="00E13A29" w:rsidRDefault="00E13A29" w:rsidP="00E13A29">
      <w:pPr>
        <w:spacing w:line="248" w:lineRule="exact"/>
        <w:rPr>
          <w:sz w:val="20"/>
          <w:szCs w:val="20"/>
        </w:rPr>
      </w:pPr>
    </w:p>
    <w:p w14:paraId="65A99B57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Žarnyno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sutrikimai</w:t>
      </w:r>
      <w:proofErr w:type="spellEnd"/>
    </w:p>
    <w:p w14:paraId="36B9415B" w14:textId="77777777" w:rsidR="00E13A29" w:rsidRDefault="00E13A29" w:rsidP="00E13A29">
      <w:pPr>
        <w:spacing w:line="257" w:lineRule="exact"/>
        <w:rPr>
          <w:sz w:val="20"/>
          <w:szCs w:val="20"/>
        </w:rPr>
      </w:pPr>
    </w:p>
    <w:p w14:paraId="7C0D1759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viduriavimas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pykinimas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vėmimas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>.</w:t>
      </w:r>
    </w:p>
    <w:p w14:paraId="1D45A2A0" w14:textId="77777777" w:rsidR="00E13A29" w:rsidRDefault="00E13A29" w:rsidP="00E13A29">
      <w:pPr>
        <w:sectPr w:rsidR="00E13A29">
          <w:pgSz w:w="11900" w:h="16840"/>
          <w:pgMar w:top="1115" w:right="1144" w:bottom="183" w:left="1134" w:header="0" w:footer="0" w:gutter="0"/>
          <w:cols w:space="720" w:equalWidth="0">
            <w:col w:w="9626"/>
          </w:cols>
        </w:sectPr>
      </w:pPr>
    </w:p>
    <w:p w14:paraId="137CA02E" w14:textId="77777777" w:rsidR="00E13A29" w:rsidRDefault="00E13A29" w:rsidP="00E13A29">
      <w:pPr>
        <w:spacing w:line="337" w:lineRule="exact"/>
        <w:rPr>
          <w:sz w:val="20"/>
          <w:szCs w:val="20"/>
        </w:rPr>
      </w:pPr>
    </w:p>
    <w:p w14:paraId="2F19C633" w14:textId="77777777" w:rsidR="00E13A29" w:rsidRDefault="00E13A29" w:rsidP="00E13A29">
      <w:pPr>
        <w:ind w:right="-5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35</w:t>
      </w:r>
    </w:p>
    <w:p w14:paraId="0AD562EE" w14:textId="77777777" w:rsidR="00E13A29" w:rsidRDefault="00E13A29" w:rsidP="00E13A29">
      <w:pPr>
        <w:sectPr w:rsidR="00E13A29">
          <w:type w:val="continuous"/>
          <w:pgSz w:w="11900" w:h="16840"/>
          <w:pgMar w:top="1115" w:right="1144" w:bottom="183" w:left="1134" w:header="0" w:footer="0" w:gutter="0"/>
          <w:cols w:space="720" w:equalWidth="0">
            <w:col w:w="9626"/>
          </w:cols>
        </w:sectPr>
      </w:pPr>
    </w:p>
    <w:p w14:paraId="3740F41E" w14:textId="77777777" w:rsidR="00E13A29" w:rsidRDefault="00E13A29" w:rsidP="00E13A29">
      <w:pPr>
        <w:ind w:left="6"/>
        <w:rPr>
          <w:sz w:val="20"/>
          <w:szCs w:val="20"/>
        </w:rPr>
      </w:pPr>
      <w:bookmarkStart w:id="2" w:name="page36"/>
      <w:bookmarkEnd w:id="2"/>
      <w:proofErr w:type="spellStart"/>
      <w:r>
        <w:rPr>
          <w:rFonts w:eastAsia="Times New Roman"/>
          <w:b/>
          <w:bCs/>
        </w:rPr>
        <w:lastRenderedPageBreak/>
        <w:t>Vaikams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paaugliams</w:t>
      </w:r>
      <w:proofErr w:type="spellEnd"/>
    </w:p>
    <w:p w14:paraId="51E1EA74" w14:textId="77777777" w:rsidR="00E13A29" w:rsidRDefault="00E13A29" w:rsidP="00E13A29">
      <w:pPr>
        <w:spacing w:line="256" w:lineRule="exact"/>
        <w:rPr>
          <w:sz w:val="20"/>
          <w:szCs w:val="20"/>
        </w:rPr>
      </w:pPr>
    </w:p>
    <w:p w14:paraId="62EC4FE3" w14:textId="77777777" w:rsidR="00E13A29" w:rsidRDefault="00E13A29" w:rsidP="00E13A29">
      <w:pPr>
        <w:spacing w:line="271" w:lineRule="auto"/>
        <w:ind w:left="6" w:right="40"/>
        <w:rPr>
          <w:sz w:val="20"/>
          <w:szCs w:val="20"/>
        </w:rPr>
      </w:pPr>
      <w:r>
        <w:rPr>
          <w:rFonts w:eastAsia="Times New Roman"/>
        </w:rPr>
        <w:t xml:space="preserve">Otezla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paaugliams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neištirtas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todėl</w:t>
      </w:r>
      <w:proofErr w:type="spellEnd"/>
      <w:r>
        <w:rPr>
          <w:rFonts w:eastAsia="Times New Roman"/>
        </w:rPr>
        <w:t xml:space="preserve"> jo </w:t>
      </w:r>
      <w:proofErr w:type="spellStart"/>
      <w:r>
        <w:rPr>
          <w:rFonts w:eastAsia="Times New Roman"/>
        </w:rPr>
        <w:t>nerekomenduojama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17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jaunesniems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paaugliams</w:t>
      </w:r>
      <w:proofErr w:type="spellEnd"/>
      <w:r>
        <w:rPr>
          <w:rFonts w:eastAsia="Times New Roman"/>
        </w:rPr>
        <w:t>.</w:t>
      </w:r>
    </w:p>
    <w:p w14:paraId="1EC198F3" w14:textId="77777777" w:rsidR="00E13A29" w:rsidRDefault="00E13A29" w:rsidP="00E13A29">
      <w:pPr>
        <w:spacing w:line="184" w:lineRule="exact"/>
        <w:rPr>
          <w:sz w:val="20"/>
          <w:szCs w:val="20"/>
        </w:rPr>
      </w:pPr>
    </w:p>
    <w:p w14:paraId="041561D2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Kiti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vaistai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Otezla</w:t>
      </w:r>
    </w:p>
    <w:p w14:paraId="435669F7" w14:textId="77777777" w:rsidR="00E13A29" w:rsidRDefault="00E13A29" w:rsidP="00E13A29">
      <w:pPr>
        <w:spacing w:line="256" w:lineRule="exact"/>
        <w:rPr>
          <w:sz w:val="20"/>
          <w:szCs w:val="20"/>
        </w:rPr>
      </w:pPr>
    </w:p>
    <w:p w14:paraId="652BF6CE" w14:textId="77777777" w:rsidR="00E13A29" w:rsidRDefault="00E13A29" w:rsidP="00E13A29">
      <w:pPr>
        <w:spacing w:line="250" w:lineRule="auto"/>
        <w:ind w:left="6" w:right="20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neseniai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nesate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tikri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tai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vaistininkui</w:t>
      </w:r>
      <w:proofErr w:type="spellEnd"/>
      <w:r>
        <w:rPr>
          <w:rFonts w:eastAsia="Times New Roman"/>
        </w:rPr>
        <w:t xml:space="preserve">. Tai </w:t>
      </w:r>
      <w:proofErr w:type="spellStart"/>
      <w:r>
        <w:rPr>
          <w:rFonts w:eastAsia="Times New Roman"/>
        </w:rPr>
        <w:t>taikoma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kuriuos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įsigyti</w:t>
      </w:r>
      <w:proofErr w:type="spellEnd"/>
      <w:r>
        <w:rPr>
          <w:rFonts w:eastAsia="Times New Roman"/>
        </w:rPr>
        <w:t xml:space="preserve"> be </w:t>
      </w:r>
      <w:proofErr w:type="spellStart"/>
      <w:r>
        <w:rPr>
          <w:rFonts w:eastAsia="Times New Roman"/>
        </w:rPr>
        <w:t>recepto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augaliniams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vaistams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to,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Otezla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įtakos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veikimui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kai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įtakos</w:t>
      </w:r>
      <w:proofErr w:type="spellEnd"/>
      <w:r>
        <w:rPr>
          <w:rFonts w:eastAsia="Times New Roman"/>
        </w:rPr>
        <w:t xml:space="preserve"> Otezla </w:t>
      </w:r>
      <w:proofErr w:type="spellStart"/>
      <w:r>
        <w:rPr>
          <w:rFonts w:eastAsia="Times New Roman"/>
        </w:rPr>
        <w:t>veikimui</w:t>
      </w:r>
      <w:proofErr w:type="spellEnd"/>
      <w:r>
        <w:rPr>
          <w:rFonts w:eastAsia="Times New Roman"/>
        </w:rPr>
        <w:t>.</w:t>
      </w:r>
    </w:p>
    <w:p w14:paraId="62A82103" w14:textId="77777777" w:rsidR="00E13A29" w:rsidRDefault="00E13A29" w:rsidP="00E13A29">
      <w:pPr>
        <w:spacing w:line="211" w:lineRule="exact"/>
        <w:rPr>
          <w:sz w:val="20"/>
          <w:szCs w:val="20"/>
        </w:rPr>
      </w:pPr>
    </w:p>
    <w:p w14:paraId="67076AAC" w14:textId="77777777" w:rsidR="00E13A29" w:rsidRDefault="00E13A29" w:rsidP="00E13A29">
      <w:pPr>
        <w:spacing w:line="271" w:lineRule="auto"/>
        <w:ind w:left="6" w:right="160"/>
        <w:rPr>
          <w:sz w:val="20"/>
          <w:szCs w:val="20"/>
        </w:rPr>
      </w:pP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pradedant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Otezla, </w:t>
      </w:r>
      <w:proofErr w:type="spellStart"/>
      <w:r>
        <w:rPr>
          <w:rFonts w:eastAsia="Times New Roman"/>
        </w:rPr>
        <w:t>ypač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svarbu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>:</w:t>
      </w:r>
    </w:p>
    <w:p w14:paraId="2294289F" w14:textId="77777777" w:rsidR="00E13A29" w:rsidRDefault="00E13A29" w:rsidP="00E13A29">
      <w:pPr>
        <w:spacing w:line="203" w:lineRule="exact"/>
        <w:rPr>
          <w:sz w:val="20"/>
          <w:szCs w:val="20"/>
        </w:rPr>
      </w:pPr>
    </w:p>
    <w:p w14:paraId="28E710F6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</w:rPr>
        <w:t>rifampiciną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antibiotiką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vartojamą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tuberkuliozei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>;</w:t>
      </w:r>
      <w:proofErr w:type="gramEnd"/>
    </w:p>
    <w:p w14:paraId="438285DC" w14:textId="77777777" w:rsidR="00E13A29" w:rsidRDefault="00E13A29" w:rsidP="00E13A29">
      <w:pPr>
        <w:spacing w:line="16" w:lineRule="exact"/>
        <w:rPr>
          <w:sz w:val="20"/>
          <w:szCs w:val="20"/>
        </w:rPr>
      </w:pPr>
    </w:p>
    <w:p w14:paraId="01561042" w14:textId="77777777" w:rsidR="00E13A29" w:rsidRDefault="00E13A29" w:rsidP="00E13A29">
      <w:pPr>
        <w:spacing w:line="247" w:lineRule="auto"/>
        <w:ind w:left="566" w:right="560"/>
        <w:rPr>
          <w:sz w:val="20"/>
          <w:szCs w:val="20"/>
        </w:rPr>
      </w:pPr>
      <w:proofErr w:type="spellStart"/>
      <w:r>
        <w:rPr>
          <w:rFonts w:eastAsia="Times New Roman"/>
        </w:rPr>
        <w:t>fenitoiną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fenobarbitalį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karbamazepiną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vaistus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traukuliamas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epilepsijai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>;</w:t>
      </w:r>
      <w:proofErr w:type="gramEnd"/>
    </w:p>
    <w:p w14:paraId="5DBA6474" w14:textId="77777777" w:rsidR="00E13A29" w:rsidRDefault="00E13A29" w:rsidP="00E13A29">
      <w:pPr>
        <w:spacing w:line="1" w:lineRule="exact"/>
        <w:rPr>
          <w:sz w:val="20"/>
          <w:szCs w:val="20"/>
        </w:rPr>
      </w:pPr>
    </w:p>
    <w:p w14:paraId="52ACA3FC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</w:rPr>
        <w:t>jonažolės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preparatą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augalinį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vartojamą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nerimui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depresijai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gydyti</w:t>
      </w:r>
      <w:proofErr w:type="spellEnd"/>
      <w:r>
        <w:rPr>
          <w:rFonts w:eastAsia="Times New Roman"/>
        </w:rPr>
        <w:t>.</w:t>
      </w:r>
    </w:p>
    <w:p w14:paraId="441BEACA" w14:textId="77777777" w:rsidR="00E13A29" w:rsidRDefault="00E13A29" w:rsidP="00E13A29">
      <w:pPr>
        <w:spacing w:line="248" w:lineRule="exact"/>
        <w:rPr>
          <w:sz w:val="20"/>
          <w:szCs w:val="20"/>
        </w:rPr>
      </w:pPr>
    </w:p>
    <w:p w14:paraId="7E0B24F7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Nėštumas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žindymo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laikotarpis</w:t>
      </w:r>
      <w:proofErr w:type="spellEnd"/>
    </w:p>
    <w:p w14:paraId="0C9612EB" w14:textId="77777777" w:rsidR="00E13A29" w:rsidRDefault="00E13A29" w:rsidP="00E13A29">
      <w:pPr>
        <w:spacing w:line="257" w:lineRule="exact"/>
        <w:rPr>
          <w:sz w:val="20"/>
          <w:szCs w:val="20"/>
        </w:rPr>
      </w:pPr>
    </w:p>
    <w:p w14:paraId="74606628" w14:textId="77777777" w:rsidR="00E13A29" w:rsidRDefault="00E13A29" w:rsidP="00E13A29">
      <w:pPr>
        <w:ind w:left="6" w:right="900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nėščia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žindote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kūdikį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manote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galbūt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nėščia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planuojate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pastoti</w:t>
      </w:r>
      <w:proofErr w:type="spellEnd"/>
      <w:r>
        <w:rPr>
          <w:rFonts w:eastAsia="Times New Roman"/>
        </w:rPr>
        <w:t xml:space="preserve">, tai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vartodama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vaistininku</w:t>
      </w:r>
      <w:proofErr w:type="spellEnd"/>
      <w:r>
        <w:rPr>
          <w:rFonts w:eastAsia="Times New Roman"/>
        </w:rPr>
        <w:t>.</w:t>
      </w:r>
    </w:p>
    <w:p w14:paraId="313C13DA" w14:textId="77777777" w:rsidR="00E13A29" w:rsidRDefault="00E13A29" w:rsidP="00E13A29">
      <w:pPr>
        <w:spacing w:line="1" w:lineRule="exact"/>
        <w:rPr>
          <w:sz w:val="20"/>
          <w:szCs w:val="20"/>
        </w:rPr>
      </w:pPr>
    </w:p>
    <w:p w14:paraId="68D26DD5" w14:textId="77777777" w:rsidR="00E13A29" w:rsidRDefault="00E13A29" w:rsidP="00E13A29">
      <w:pPr>
        <w:spacing w:line="239" w:lineRule="auto"/>
        <w:ind w:left="6" w:right="80"/>
        <w:rPr>
          <w:sz w:val="20"/>
          <w:szCs w:val="20"/>
        </w:rPr>
      </w:pPr>
      <w:proofErr w:type="spellStart"/>
      <w:r>
        <w:rPr>
          <w:rFonts w:eastAsia="Times New Roman"/>
        </w:rPr>
        <w:t>Informacijos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Otezla </w:t>
      </w:r>
      <w:proofErr w:type="spellStart"/>
      <w:r>
        <w:rPr>
          <w:rFonts w:eastAsia="Times New Roman"/>
        </w:rPr>
        <w:t>vartojimą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nėštumo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nepakanka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todėl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veiksmingą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kontracepcijos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metodą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Otezla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>.</w:t>
      </w:r>
    </w:p>
    <w:p w14:paraId="6BCC63D6" w14:textId="77777777" w:rsidR="00E13A29" w:rsidRDefault="00E13A29" w:rsidP="00E13A29">
      <w:pPr>
        <w:spacing w:line="1" w:lineRule="exact"/>
        <w:rPr>
          <w:sz w:val="20"/>
          <w:szCs w:val="20"/>
        </w:rPr>
      </w:pPr>
    </w:p>
    <w:p w14:paraId="1B1EF252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</w:rPr>
        <w:t>Nežinoma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išsiskiria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motinos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pieną</w:t>
      </w:r>
      <w:proofErr w:type="spellEnd"/>
      <w:r>
        <w:rPr>
          <w:rFonts w:eastAsia="Times New Roman"/>
        </w:rPr>
        <w:t xml:space="preserve">. Otezla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žindymo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>.</w:t>
      </w:r>
    </w:p>
    <w:p w14:paraId="0D42E4B8" w14:textId="77777777" w:rsidR="00E13A29" w:rsidRDefault="00E13A29" w:rsidP="00E13A29">
      <w:pPr>
        <w:spacing w:line="249" w:lineRule="exact"/>
        <w:rPr>
          <w:sz w:val="20"/>
          <w:szCs w:val="20"/>
        </w:rPr>
      </w:pPr>
    </w:p>
    <w:p w14:paraId="5A4D31C5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Vairavimas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mechanizmų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valdymas</w:t>
      </w:r>
      <w:proofErr w:type="spellEnd"/>
    </w:p>
    <w:p w14:paraId="5E7B44FB" w14:textId="77777777" w:rsidR="00E13A29" w:rsidRDefault="00E13A29" w:rsidP="00E13A29">
      <w:pPr>
        <w:spacing w:line="257" w:lineRule="exact"/>
        <w:rPr>
          <w:sz w:val="20"/>
          <w:szCs w:val="20"/>
        </w:rPr>
      </w:pPr>
    </w:p>
    <w:p w14:paraId="3A123909" w14:textId="77777777" w:rsidR="00E13A29" w:rsidRDefault="00E13A29" w:rsidP="00E13A29">
      <w:pPr>
        <w:ind w:left="6"/>
        <w:rPr>
          <w:sz w:val="20"/>
          <w:szCs w:val="20"/>
        </w:rPr>
      </w:pPr>
      <w:r>
        <w:rPr>
          <w:rFonts w:eastAsia="Times New Roman"/>
        </w:rPr>
        <w:t xml:space="preserve">Otezla </w:t>
      </w:r>
      <w:proofErr w:type="spellStart"/>
      <w:r>
        <w:rPr>
          <w:rFonts w:eastAsia="Times New Roman"/>
        </w:rPr>
        <w:t>gebėjimo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vairuoti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valdyti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mechanizmus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neveikia</w:t>
      </w:r>
      <w:proofErr w:type="spellEnd"/>
      <w:r>
        <w:rPr>
          <w:rFonts w:eastAsia="Times New Roman"/>
        </w:rPr>
        <w:t>.</w:t>
      </w:r>
    </w:p>
    <w:p w14:paraId="6822DEAA" w14:textId="77777777" w:rsidR="00E13A29" w:rsidRDefault="00E13A29" w:rsidP="00E13A29">
      <w:pPr>
        <w:spacing w:line="248" w:lineRule="exact"/>
        <w:rPr>
          <w:sz w:val="20"/>
          <w:szCs w:val="20"/>
        </w:rPr>
      </w:pPr>
    </w:p>
    <w:p w14:paraId="1CC51C24" w14:textId="77777777" w:rsidR="00E13A29" w:rsidRDefault="00E13A29" w:rsidP="00E13A29">
      <w:pPr>
        <w:ind w:left="6"/>
        <w:rPr>
          <w:sz w:val="20"/>
          <w:szCs w:val="20"/>
        </w:rPr>
      </w:pPr>
      <w:r>
        <w:rPr>
          <w:rFonts w:eastAsia="Times New Roman"/>
          <w:b/>
          <w:bCs/>
        </w:rPr>
        <w:t xml:space="preserve">Otezla </w:t>
      </w:r>
      <w:proofErr w:type="spellStart"/>
      <w:r>
        <w:rPr>
          <w:rFonts w:eastAsia="Times New Roman"/>
          <w:b/>
          <w:bCs/>
        </w:rPr>
        <w:t>sudėtyje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laktozės</w:t>
      </w:r>
      <w:proofErr w:type="spellEnd"/>
    </w:p>
    <w:p w14:paraId="50D558A2" w14:textId="77777777" w:rsidR="00E13A29" w:rsidRDefault="00E13A29" w:rsidP="00E13A29">
      <w:pPr>
        <w:spacing w:line="257" w:lineRule="exact"/>
        <w:rPr>
          <w:sz w:val="20"/>
          <w:szCs w:val="20"/>
        </w:rPr>
      </w:pPr>
    </w:p>
    <w:p w14:paraId="23B62A9A" w14:textId="77777777" w:rsidR="00E13A29" w:rsidRDefault="00E13A29" w:rsidP="00E13A29">
      <w:pPr>
        <w:spacing w:line="271" w:lineRule="auto"/>
        <w:ind w:left="6" w:right="1020"/>
        <w:rPr>
          <w:sz w:val="20"/>
          <w:szCs w:val="20"/>
        </w:rPr>
      </w:pPr>
      <w:r>
        <w:rPr>
          <w:rFonts w:eastAsia="Times New Roman"/>
        </w:rPr>
        <w:t xml:space="preserve">Otezla </w:t>
      </w:r>
      <w:proofErr w:type="spellStart"/>
      <w:r>
        <w:rPr>
          <w:rFonts w:eastAsia="Times New Roman"/>
        </w:rPr>
        <w:t>sudėtyje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laktozės</w:t>
      </w:r>
      <w:proofErr w:type="spellEnd"/>
      <w:r>
        <w:rPr>
          <w:rFonts w:eastAsia="Times New Roman"/>
        </w:rPr>
        <w:t xml:space="preserve"> (tam </w:t>
      </w:r>
      <w:proofErr w:type="spellStart"/>
      <w:r>
        <w:rPr>
          <w:rFonts w:eastAsia="Times New Roman"/>
        </w:rPr>
        <w:t>tikro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tipo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angliavandenių</w:t>
      </w:r>
      <w:proofErr w:type="spellEnd"/>
      <w:r>
        <w:rPr>
          <w:rFonts w:eastAsia="Times New Roman"/>
        </w:rPr>
        <w:t xml:space="preserve">).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sakęs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netoleruojate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angliavandenių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jį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>.</w:t>
      </w:r>
    </w:p>
    <w:p w14:paraId="1E8D1111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24D478B8" w14:textId="77777777" w:rsidR="00E13A29" w:rsidRDefault="00E13A29" w:rsidP="00E13A29">
      <w:pPr>
        <w:spacing w:line="236" w:lineRule="exact"/>
        <w:rPr>
          <w:sz w:val="20"/>
          <w:szCs w:val="20"/>
        </w:rPr>
      </w:pPr>
    </w:p>
    <w:p w14:paraId="0627DF86" w14:textId="77777777" w:rsidR="00E13A29" w:rsidRDefault="00E13A29" w:rsidP="00E13A29">
      <w:pPr>
        <w:numPr>
          <w:ilvl w:val="0"/>
          <w:numId w:val="6"/>
        </w:numPr>
        <w:tabs>
          <w:tab w:val="left" w:pos="566"/>
        </w:tabs>
        <w:ind w:left="566" w:hanging="566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Otezla</w:t>
      </w:r>
    </w:p>
    <w:p w14:paraId="42B6BF64" w14:textId="77777777" w:rsidR="00E13A29" w:rsidRDefault="00E13A29" w:rsidP="00E13A29">
      <w:pPr>
        <w:spacing w:line="257" w:lineRule="exact"/>
        <w:rPr>
          <w:sz w:val="20"/>
          <w:szCs w:val="20"/>
        </w:rPr>
      </w:pPr>
    </w:p>
    <w:p w14:paraId="77D94381" w14:textId="77777777" w:rsidR="00E13A29" w:rsidRDefault="00E13A29" w:rsidP="00E13A29">
      <w:pPr>
        <w:spacing w:line="271" w:lineRule="auto"/>
        <w:ind w:left="6" w:right="920"/>
        <w:rPr>
          <w:sz w:val="20"/>
          <w:szCs w:val="20"/>
        </w:rPr>
      </w:pPr>
      <w:proofErr w:type="spellStart"/>
      <w:r>
        <w:rPr>
          <w:rFonts w:eastAsia="Times New Roman"/>
        </w:rPr>
        <w:t>Visada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tiksliai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abejojate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>.</w:t>
      </w:r>
    </w:p>
    <w:p w14:paraId="64FFA672" w14:textId="77777777" w:rsidR="00E13A29" w:rsidRDefault="00E13A29" w:rsidP="00E13A29">
      <w:pPr>
        <w:spacing w:line="183" w:lineRule="exact"/>
        <w:rPr>
          <w:sz w:val="20"/>
          <w:szCs w:val="20"/>
        </w:rPr>
      </w:pPr>
    </w:p>
    <w:p w14:paraId="3EA1438C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Kiek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vaisto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</w:p>
    <w:p w14:paraId="4BA92D6C" w14:textId="77777777" w:rsidR="00E13A29" w:rsidRDefault="00E13A29" w:rsidP="00E13A29">
      <w:pPr>
        <w:spacing w:line="272" w:lineRule="exact"/>
        <w:rPr>
          <w:sz w:val="20"/>
          <w:szCs w:val="20"/>
        </w:rPr>
      </w:pPr>
    </w:p>
    <w:p w14:paraId="344060BA" w14:textId="77777777" w:rsidR="00E13A29" w:rsidRDefault="00E13A29" w:rsidP="00E13A29">
      <w:pPr>
        <w:spacing w:line="248" w:lineRule="auto"/>
        <w:ind w:left="566"/>
        <w:rPr>
          <w:sz w:val="20"/>
          <w:szCs w:val="20"/>
        </w:rPr>
      </w:pPr>
      <w:proofErr w:type="spellStart"/>
      <w:r>
        <w:rPr>
          <w:rFonts w:eastAsia="Times New Roman"/>
        </w:rPr>
        <w:t>Pirmą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pradėję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Otezla, </w:t>
      </w:r>
      <w:proofErr w:type="spellStart"/>
      <w:r>
        <w:rPr>
          <w:rFonts w:eastAsia="Times New Roman"/>
        </w:rPr>
        <w:t>gausite</w:t>
      </w:r>
      <w:proofErr w:type="spellEnd"/>
      <w:r>
        <w:rPr>
          <w:rFonts w:eastAsia="Times New Roman"/>
        </w:rPr>
        <w:t xml:space="preserve"> „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pradžios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pakuotę</w:t>
      </w:r>
      <w:proofErr w:type="spellEnd"/>
      <w:r>
        <w:rPr>
          <w:rFonts w:eastAsia="Times New Roman"/>
        </w:rPr>
        <w:t>“</w:t>
      </w:r>
      <w:proofErr w:type="gram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išvardytos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lentelėje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toliau</w:t>
      </w:r>
      <w:proofErr w:type="spellEnd"/>
      <w:r>
        <w:rPr>
          <w:rFonts w:eastAsia="Times New Roman"/>
        </w:rPr>
        <w:t>.</w:t>
      </w:r>
    </w:p>
    <w:p w14:paraId="24CB86E7" w14:textId="77777777" w:rsidR="00E13A29" w:rsidRDefault="00E13A29" w:rsidP="00E13A29">
      <w:pPr>
        <w:spacing w:line="247" w:lineRule="auto"/>
        <w:ind w:left="566" w:right="460"/>
        <w:rPr>
          <w:sz w:val="20"/>
          <w:szCs w:val="20"/>
        </w:rPr>
      </w:pPr>
      <w:r>
        <w:rPr>
          <w:rFonts w:eastAsia="Times New Roman"/>
        </w:rPr>
        <w:t>„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pradžios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pakuotė</w:t>
      </w:r>
      <w:proofErr w:type="spellEnd"/>
      <w:r>
        <w:rPr>
          <w:rFonts w:eastAsia="Times New Roman"/>
        </w:rPr>
        <w:t xml:space="preserve">“ </w:t>
      </w:r>
      <w:proofErr w:type="spellStart"/>
      <w:r>
        <w:rPr>
          <w:rFonts w:eastAsia="Times New Roman"/>
        </w:rPr>
        <w:t>yra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aiškiai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paženklinta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siekiant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užtikrinti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vartotumėte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reikiamu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>.</w:t>
      </w:r>
    </w:p>
    <w:p w14:paraId="2F0322C3" w14:textId="77777777" w:rsidR="00E13A29" w:rsidRDefault="00E13A29" w:rsidP="00E13A29">
      <w:pPr>
        <w:spacing w:line="1" w:lineRule="exact"/>
        <w:rPr>
          <w:sz w:val="20"/>
          <w:szCs w:val="20"/>
        </w:rPr>
      </w:pPr>
    </w:p>
    <w:p w14:paraId="26595A53" w14:textId="77777777" w:rsidR="00E13A29" w:rsidRDefault="00E13A29" w:rsidP="00E13A29">
      <w:pPr>
        <w:spacing w:line="247" w:lineRule="auto"/>
        <w:ind w:left="566" w:right="240"/>
        <w:rPr>
          <w:sz w:val="20"/>
          <w:szCs w:val="20"/>
        </w:rPr>
      </w:pPr>
      <w:proofErr w:type="spellStart"/>
      <w:r>
        <w:rPr>
          <w:rFonts w:eastAsia="Times New Roman"/>
        </w:rPr>
        <w:t>Gydymas</w:t>
      </w:r>
      <w:proofErr w:type="spellEnd"/>
      <w:r>
        <w:rPr>
          <w:rFonts w:eastAsia="Times New Roman"/>
        </w:rPr>
        <w:t xml:space="preserve"> bus </w:t>
      </w:r>
      <w:proofErr w:type="spellStart"/>
      <w:r>
        <w:rPr>
          <w:rFonts w:eastAsia="Times New Roman"/>
        </w:rPr>
        <w:t>pradedamas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mažesnės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pirmąsias</w:t>
      </w:r>
      <w:proofErr w:type="spellEnd"/>
      <w:r>
        <w:rPr>
          <w:rFonts w:eastAsia="Times New Roman"/>
        </w:rPr>
        <w:t xml:space="preserve"> 6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palaipsniui</w:t>
      </w:r>
      <w:proofErr w:type="spellEnd"/>
      <w:r>
        <w:rPr>
          <w:rFonts w:eastAsia="Times New Roman"/>
        </w:rPr>
        <w:t xml:space="preserve"> bus </w:t>
      </w:r>
      <w:proofErr w:type="spellStart"/>
      <w:r>
        <w:rPr>
          <w:rFonts w:eastAsia="Times New Roman"/>
        </w:rPr>
        <w:t>didinama</w:t>
      </w:r>
      <w:proofErr w:type="spellEnd"/>
      <w:r>
        <w:rPr>
          <w:rFonts w:eastAsia="Times New Roman"/>
        </w:rPr>
        <w:t>.</w:t>
      </w:r>
    </w:p>
    <w:p w14:paraId="4CEAE091" w14:textId="77777777" w:rsidR="00E13A29" w:rsidRDefault="00E13A29" w:rsidP="00E13A29">
      <w:pPr>
        <w:spacing w:line="247" w:lineRule="auto"/>
        <w:ind w:left="566" w:right="1220"/>
        <w:rPr>
          <w:sz w:val="20"/>
          <w:szCs w:val="20"/>
        </w:rPr>
      </w:pPr>
      <w:r>
        <w:rPr>
          <w:rFonts w:eastAsia="Times New Roman"/>
        </w:rPr>
        <w:t>„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pradžios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pakuotėje</w:t>
      </w:r>
      <w:proofErr w:type="spellEnd"/>
      <w:r>
        <w:rPr>
          <w:rFonts w:eastAsia="Times New Roman"/>
        </w:rPr>
        <w:t xml:space="preserve">“ </w:t>
      </w:r>
      <w:proofErr w:type="spellStart"/>
      <w:r>
        <w:rPr>
          <w:rFonts w:eastAsia="Times New Roman"/>
        </w:rPr>
        <w:t>taip</w:t>
      </w:r>
      <w:proofErr w:type="spellEnd"/>
      <w:proofErr w:type="gramEnd"/>
      <w:r>
        <w:rPr>
          <w:rFonts w:eastAsia="Times New Roman"/>
        </w:rPr>
        <w:t xml:space="preserve"> pat bus </w:t>
      </w:r>
      <w:proofErr w:type="spellStart"/>
      <w:r>
        <w:rPr>
          <w:rFonts w:eastAsia="Times New Roman"/>
        </w:rPr>
        <w:t>pakankamai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</w:t>
      </w:r>
      <w:proofErr w:type="spellEnd"/>
      <w:r>
        <w:rPr>
          <w:rFonts w:eastAsia="Times New Roman"/>
        </w:rPr>
        <w:t xml:space="preserve"> 8 </w:t>
      </w:r>
      <w:proofErr w:type="spellStart"/>
      <w:r>
        <w:rPr>
          <w:rFonts w:eastAsia="Times New Roman"/>
        </w:rPr>
        <w:t>dienoms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vartojant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rekomenduojamą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(7-14 </w:t>
      </w:r>
      <w:proofErr w:type="spellStart"/>
      <w:r>
        <w:rPr>
          <w:rFonts w:eastAsia="Times New Roman"/>
        </w:rPr>
        <w:t>dienomis</w:t>
      </w:r>
      <w:proofErr w:type="spellEnd"/>
      <w:r>
        <w:rPr>
          <w:rFonts w:eastAsia="Times New Roman"/>
        </w:rPr>
        <w:t>).</w:t>
      </w:r>
    </w:p>
    <w:p w14:paraId="69B60047" w14:textId="77777777" w:rsidR="00E13A29" w:rsidRDefault="00E13A29" w:rsidP="00E13A29">
      <w:pPr>
        <w:spacing w:line="1" w:lineRule="exact"/>
        <w:rPr>
          <w:sz w:val="20"/>
          <w:szCs w:val="20"/>
        </w:rPr>
      </w:pPr>
    </w:p>
    <w:p w14:paraId="06358953" w14:textId="77777777" w:rsidR="00E13A29" w:rsidRDefault="00E13A29" w:rsidP="00E13A29">
      <w:pPr>
        <w:spacing w:line="255" w:lineRule="auto"/>
        <w:ind w:left="566" w:right="80"/>
        <w:rPr>
          <w:sz w:val="20"/>
          <w:szCs w:val="20"/>
        </w:rPr>
      </w:pPr>
      <w:proofErr w:type="spellStart"/>
      <w:r>
        <w:rPr>
          <w:rFonts w:eastAsia="Times New Roman"/>
        </w:rPr>
        <w:t>Rekomenduojama</w:t>
      </w:r>
      <w:proofErr w:type="spellEnd"/>
      <w:r>
        <w:rPr>
          <w:rFonts w:eastAsia="Times New Roman"/>
        </w:rPr>
        <w:t xml:space="preserve"> Otezla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30 mg, </w:t>
      </w:r>
      <w:proofErr w:type="spellStart"/>
      <w:r>
        <w:rPr>
          <w:rFonts w:eastAsia="Times New Roman"/>
        </w:rPr>
        <w:t>vartojama</w:t>
      </w:r>
      <w:proofErr w:type="spellEnd"/>
      <w:r>
        <w:rPr>
          <w:rFonts w:eastAsia="Times New Roman"/>
        </w:rPr>
        <w:t xml:space="preserve"> du </w:t>
      </w:r>
      <w:proofErr w:type="spellStart"/>
      <w:r>
        <w:rPr>
          <w:rFonts w:eastAsia="Times New Roman"/>
        </w:rPr>
        <w:t>kartus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parą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pasibaigus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titravimo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fazei</w:t>
      </w:r>
      <w:proofErr w:type="spellEnd"/>
      <w:r>
        <w:rPr>
          <w:rFonts w:eastAsia="Times New Roman"/>
        </w:rPr>
        <w:t xml:space="preserve"> – </w:t>
      </w:r>
      <w:proofErr w:type="spellStart"/>
      <w:r>
        <w:rPr>
          <w:rFonts w:eastAsia="Times New Roman"/>
        </w:rPr>
        <w:t>viena</w:t>
      </w:r>
      <w:proofErr w:type="spellEnd"/>
      <w:r>
        <w:rPr>
          <w:rFonts w:eastAsia="Times New Roman"/>
        </w:rPr>
        <w:t xml:space="preserve"> 30 mg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ryte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viena</w:t>
      </w:r>
      <w:proofErr w:type="spellEnd"/>
      <w:r>
        <w:rPr>
          <w:rFonts w:eastAsia="Times New Roman"/>
        </w:rPr>
        <w:t xml:space="preserve"> 30 mg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vakare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maždaug</w:t>
      </w:r>
      <w:proofErr w:type="spellEnd"/>
      <w:r>
        <w:rPr>
          <w:rFonts w:eastAsia="Times New Roman"/>
        </w:rPr>
        <w:t xml:space="preserve"> 12 </w:t>
      </w:r>
      <w:proofErr w:type="spellStart"/>
      <w:r>
        <w:rPr>
          <w:rFonts w:eastAsia="Times New Roman"/>
        </w:rPr>
        <w:t>valandų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pertrauka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nepriklausomai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valgio</w:t>
      </w:r>
      <w:proofErr w:type="spellEnd"/>
      <w:r>
        <w:rPr>
          <w:rFonts w:eastAsia="Times New Roman"/>
        </w:rPr>
        <w:t>.</w:t>
      </w:r>
    </w:p>
    <w:p w14:paraId="4EE1ED59" w14:textId="77777777" w:rsidR="00E13A29" w:rsidRDefault="00E13A29" w:rsidP="00E13A29">
      <w:pPr>
        <w:spacing w:line="196" w:lineRule="exact"/>
        <w:rPr>
          <w:sz w:val="20"/>
          <w:szCs w:val="20"/>
        </w:rPr>
      </w:pPr>
    </w:p>
    <w:p w14:paraId="4C5B5203" w14:textId="77777777" w:rsidR="00E13A29" w:rsidRDefault="00E13A29" w:rsidP="00E13A29">
      <w:pPr>
        <w:ind w:right="-45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36</w:t>
      </w:r>
    </w:p>
    <w:p w14:paraId="66661F65" w14:textId="77777777" w:rsidR="00E13A29" w:rsidRDefault="00E13A29" w:rsidP="00E13A29">
      <w:pPr>
        <w:sectPr w:rsidR="00E13A29">
          <w:pgSz w:w="11900" w:h="16840"/>
          <w:pgMar w:top="1368" w:right="1184" w:bottom="183" w:left="1134" w:header="0" w:footer="0" w:gutter="0"/>
          <w:cols w:space="720" w:equalWidth="0">
            <w:col w:w="9586"/>
          </w:cols>
        </w:sectPr>
      </w:pPr>
    </w:p>
    <w:p w14:paraId="76CF4B84" w14:textId="77777777" w:rsidR="00E13A29" w:rsidRDefault="00E13A29" w:rsidP="00E13A29">
      <w:pPr>
        <w:ind w:left="120"/>
        <w:rPr>
          <w:sz w:val="20"/>
          <w:szCs w:val="20"/>
        </w:rPr>
      </w:pPr>
      <w:bookmarkStart w:id="3" w:name="page37"/>
      <w:bookmarkEnd w:id="3"/>
      <w:r>
        <w:rPr>
          <w:rFonts w:eastAsia="Times New Roman"/>
        </w:rPr>
        <w:lastRenderedPageBreak/>
        <w:t xml:space="preserve">Tai </w:t>
      </w:r>
      <w:proofErr w:type="spellStart"/>
      <w:r>
        <w:rPr>
          <w:rFonts w:eastAsia="Times New Roman"/>
        </w:rPr>
        <w:t>sudaro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bendrą</w:t>
      </w:r>
      <w:proofErr w:type="spellEnd"/>
      <w:r>
        <w:rPr>
          <w:rFonts w:eastAsia="Times New Roman"/>
        </w:rPr>
        <w:t xml:space="preserve"> 60 mg </w:t>
      </w:r>
      <w:proofErr w:type="spellStart"/>
      <w:r>
        <w:rPr>
          <w:rFonts w:eastAsia="Times New Roman"/>
        </w:rPr>
        <w:t>paros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6 </w:t>
      </w:r>
      <w:proofErr w:type="spellStart"/>
      <w:r>
        <w:rPr>
          <w:rFonts w:eastAsia="Times New Roman"/>
        </w:rPr>
        <w:t>dienos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pabaigos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būsite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pasiekę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rekomenduojamą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>.</w:t>
      </w:r>
    </w:p>
    <w:p w14:paraId="09910164" w14:textId="77777777" w:rsidR="00E13A29" w:rsidRDefault="00E13A29" w:rsidP="00E13A29">
      <w:pPr>
        <w:spacing w:line="16" w:lineRule="exact"/>
        <w:rPr>
          <w:sz w:val="20"/>
          <w:szCs w:val="20"/>
        </w:rPr>
      </w:pPr>
    </w:p>
    <w:p w14:paraId="1AEF0550" w14:textId="77777777" w:rsidR="00E13A29" w:rsidRDefault="00E13A29" w:rsidP="00E13A29">
      <w:pPr>
        <w:spacing w:line="271" w:lineRule="auto"/>
        <w:ind w:left="680" w:right="360"/>
        <w:rPr>
          <w:sz w:val="20"/>
          <w:szCs w:val="20"/>
        </w:rPr>
      </w:pPr>
      <w:proofErr w:type="spellStart"/>
      <w:r>
        <w:rPr>
          <w:rFonts w:eastAsia="Times New Roman"/>
        </w:rPr>
        <w:t>Pasiekus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rekomenduojamą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skiriamose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pakuotėse</w:t>
      </w:r>
      <w:proofErr w:type="spellEnd"/>
      <w:r>
        <w:rPr>
          <w:rFonts w:eastAsia="Times New Roman"/>
        </w:rPr>
        <w:t xml:space="preserve"> bus tik 30 mg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 xml:space="preserve">. Net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kartosite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laipsniškas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didinimo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etapas</w:t>
      </w:r>
      <w:proofErr w:type="spellEnd"/>
      <w:r>
        <w:rPr>
          <w:rFonts w:eastAsia="Times New Roman"/>
        </w:rPr>
        <w:t xml:space="preserve"> bus tik </w:t>
      </w:r>
      <w:proofErr w:type="spellStart"/>
      <w:r>
        <w:rPr>
          <w:rFonts w:eastAsia="Times New Roman"/>
        </w:rPr>
        <w:t>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kartą</w:t>
      </w:r>
      <w:proofErr w:type="spellEnd"/>
      <w:r>
        <w:rPr>
          <w:rFonts w:eastAsia="Times New Roman"/>
        </w:rPr>
        <w:t>.</w:t>
      </w:r>
    </w:p>
    <w:p w14:paraId="5EAB9970" w14:textId="77777777" w:rsidR="00E13A29" w:rsidRDefault="00E13A29" w:rsidP="00E13A29">
      <w:pPr>
        <w:spacing w:line="18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920"/>
        <w:gridCol w:w="2800"/>
        <w:gridCol w:w="2360"/>
      </w:tblGrid>
      <w:tr w:rsidR="00E13A29" w14:paraId="427D98EB" w14:textId="77777777" w:rsidTr="002E34EB">
        <w:trPr>
          <w:trHeight w:val="37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782A538C" w14:textId="77777777" w:rsidR="00E13A29" w:rsidRDefault="00E13A29" w:rsidP="002E34EB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Diena</w:t>
            </w:r>
            <w:proofErr w:type="spellEnd"/>
          </w:p>
        </w:tc>
        <w:tc>
          <w:tcPr>
            <w:tcW w:w="29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0AD4175A" w14:textId="77777777" w:rsidR="00E13A29" w:rsidRDefault="00E13A29" w:rsidP="002E34E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Rytinė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dozė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059083FB" w14:textId="77777777" w:rsidR="00E13A29" w:rsidRDefault="00E13A29" w:rsidP="002E34E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Vakarinė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dozė</w:t>
            </w:r>
            <w:proofErr w:type="spellEnd"/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1423F513" w14:textId="77777777" w:rsidR="00E13A29" w:rsidRDefault="00E13A29" w:rsidP="002E34E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Bendra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paros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dozė</w:t>
            </w:r>
            <w:proofErr w:type="spellEnd"/>
          </w:p>
        </w:tc>
      </w:tr>
      <w:tr w:rsidR="00E13A29" w14:paraId="65E31323" w14:textId="77777777" w:rsidTr="002E34EB">
        <w:trPr>
          <w:trHeight w:val="25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14:paraId="67603FFE" w14:textId="77777777" w:rsidR="00E13A29" w:rsidRDefault="00E13A29" w:rsidP="002E34E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1 </w:t>
            </w:r>
            <w:proofErr w:type="spellStart"/>
            <w:r>
              <w:rPr>
                <w:rFonts w:eastAsia="Times New Roman"/>
                <w:b/>
                <w:bCs/>
              </w:rPr>
              <w:t>diena</w:t>
            </w:r>
            <w:proofErr w:type="spellEnd"/>
          </w:p>
        </w:tc>
        <w:tc>
          <w:tcPr>
            <w:tcW w:w="2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83DE31" w14:textId="77777777" w:rsidR="00E13A29" w:rsidRDefault="00E13A29" w:rsidP="002E34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mg (</w:t>
            </w:r>
            <w:proofErr w:type="spellStart"/>
            <w:r>
              <w:rPr>
                <w:rFonts w:eastAsia="Times New Roman"/>
              </w:rPr>
              <w:t>rausva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7F005B8" w14:textId="77777777" w:rsidR="00E13A29" w:rsidRDefault="00E13A29" w:rsidP="002E34EB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</w:rPr>
              <w:t>Dozės</w:t>
            </w:r>
            <w:proofErr w:type="spellEnd"/>
            <w:r>
              <w:rPr>
                <w:rFonts w:eastAsia="Times New Roman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FFFFFF"/>
              </w:rPr>
              <w:t>nevartokite</w:t>
            </w:r>
            <w:proofErr w:type="spellEnd"/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14:paraId="5E1850DD" w14:textId="77777777" w:rsidR="00E13A29" w:rsidRDefault="00E13A29" w:rsidP="002E34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mg</w:t>
            </w:r>
          </w:p>
        </w:tc>
      </w:tr>
      <w:tr w:rsidR="00E13A29" w14:paraId="22FD45C0" w14:textId="77777777" w:rsidTr="002E34EB">
        <w:trPr>
          <w:trHeight w:val="245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14:paraId="53621249" w14:textId="77777777" w:rsidR="00E13A29" w:rsidRDefault="00E13A29" w:rsidP="002E34EB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2 </w:t>
            </w:r>
            <w:proofErr w:type="spellStart"/>
            <w:r>
              <w:rPr>
                <w:rFonts w:eastAsia="Times New Roman"/>
                <w:b/>
                <w:bCs/>
              </w:rPr>
              <w:t>diena</w:t>
            </w:r>
            <w:proofErr w:type="spellEnd"/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645BEC" w14:textId="77777777" w:rsidR="00E13A29" w:rsidRDefault="00E13A29" w:rsidP="002E34EB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mg (</w:t>
            </w:r>
            <w:proofErr w:type="spellStart"/>
            <w:r>
              <w:rPr>
                <w:rFonts w:eastAsia="Times New Roman"/>
              </w:rPr>
              <w:t>rausva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277208" w14:textId="77777777" w:rsidR="00E13A29" w:rsidRDefault="00E13A29" w:rsidP="002E34EB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mg (</w:t>
            </w:r>
            <w:proofErr w:type="spellStart"/>
            <w:r>
              <w:rPr>
                <w:rFonts w:eastAsia="Times New Roman"/>
              </w:rPr>
              <w:t>rausva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14:paraId="094E7C25" w14:textId="77777777" w:rsidR="00E13A29" w:rsidRDefault="00E13A29" w:rsidP="002E34EB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 mg</w:t>
            </w:r>
          </w:p>
        </w:tc>
      </w:tr>
      <w:tr w:rsidR="00E13A29" w14:paraId="5808DC05" w14:textId="77777777" w:rsidTr="002E34EB">
        <w:trPr>
          <w:trHeight w:val="245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14:paraId="696993F7" w14:textId="77777777" w:rsidR="00E13A29" w:rsidRDefault="00E13A29" w:rsidP="002E34EB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3 </w:t>
            </w:r>
            <w:proofErr w:type="spellStart"/>
            <w:r>
              <w:rPr>
                <w:rFonts w:eastAsia="Times New Roman"/>
                <w:b/>
                <w:bCs/>
              </w:rPr>
              <w:t>diena</w:t>
            </w:r>
            <w:proofErr w:type="spellEnd"/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5E53EF" w14:textId="77777777" w:rsidR="00E13A29" w:rsidRDefault="00E13A29" w:rsidP="002E34EB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mg (</w:t>
            </w:r>
            <w:proofErr w:type="spellStart"/>
            <w:r>
              <w:rPr>
                <w:rFonts w:eastAsia="Times New Roman"/>
              </w:rPr>
              <w:t>rausva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C6AC33" w14:textId="77777777" w:rsidR="00E13A29" w:rsidRDefault="00E13A29" w:rsidP="002E34EB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 mg (</w:t>
            </w:r>
            <w:proofErr w:type="spellStart"/>
            <w:r>
              <w:rPr>
                <w:rFonts w:eastAsia="Times New Roman"/>
              </w:rPr>
              <w:t>ruda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14:paraId="2BC8F918" w14:textId="77777777" w:rsidR="00E13A29" w:rsidRDefault="00E13A29" w:rsidP="002E34EB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 mg</w:t>
            </w:r>
          </w:p>
        </w:tc>
      </w:tr>
      <w:tr w:rsidR="00E13A29" w14:paraId="0C5518CE" w14:textId="77777777" w:rsidTr="002E34EB">
        <w:trPr>
          <w:trHeight w:val="245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14:paraId="66ED7E89" w14:textId="77777777" w:rsidR="00E13A29" w:rsidRDefault="00E13A29" w:rsidP="002E34EB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4 </w:t>
            </w:r>
            <w:proofErr w:type="spellStart"/>
            <w:r>
              <w:rPr>
                <w:rFonts w:eastAsia="Times New Roman"/>
                <w:b/>
                <w:bCs/>
              </w:rPr>
              <w:t>diena</w:t>
            </w:r>
            <w:proofErr w:type="spellEnd"/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1C3BFD" w14:textId="77777777" w:rsidR="00E13A29" w:rsidRDefault="00E13A29" w:rsidP="002E34EB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 mg (</w:t>
            </w:r>
            <w:proofErr w:type="spellStart"/>
            <w:r>
              <w:rPr>
                <w:rFonts w:eastAsia="Times New Roman"/>
              </w:rPr>
              <w:t>ruda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363A2C" w14:textId="77777777" w:rsidR="00E13A29" w:rsidRDefault="00E13A29" w:rsidP="002E34EB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 mg (</w:t>
            </w:r>
            <w:proofErr w:type="spellStart"/>
            <w:r>
              <w:rPr>
                <w:rFonts w:eastAsia="Times New Roman"/>
              </w:rPr>
              <w:t>ruda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14:paraId="3962549F" w14:textId="77777777" w:rsidR="00E13A29" w:rsidRDefault="00E13A29" w:rsidP="002E34EB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 mg</w:t>
            </w:r>
          </w:p>
        </w:tc>
      </w:tr>
      <w:tr w:rsidR="00E13A29" w14:paraId="0D1B768C" w14:textId="77777777" w:rsidTr="002E34EB">
        <w:trPr>
          <w:trHeight w:val="245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14:paraId="37A53D6D" w14:textId="77777777" w:rsidR="00E13A29" w:rsidRDefault="00E13A29" w:rsidP="002E34EB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5 </w:t>
            </w:r>
            <w:proofErr w:type="spellStart"/>
            <w:r>
              <w:rPr>
                <w:rFonts w:eastAsia="Times New Roman"/>
                <w:b/>
                <w:bCs/>
              </w:rPr>
              <w:t>diena</w:t>
            </w:r>
            <w:proofErr w:type="spellEnd"/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3246FA" w14:textId="77777777" w:rsidR="00E13A29" w:rsidRDefault="00E13A29" w:rsidP="002E34EB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 mg (</w:t>
            </w:r>
            <w:proofErr w:type="spellStart"/>
            <w:r>
              <w:rPr>
                <w:rFonts w:eastAsia="Times New Roman"/>
              </w:rPr>
              <w:t>ruda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D9D07D" w14:textId="77777777" w:rsidR="00E13A29" w:rsidRDefault="00E13A29" w:rsidP="002E34EB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 mg (</w:t>
            </w:r>
            <w:proofErr w:type="spellStart"/>
            <w:r>
              <w:rPr>
                <w:rFonts w:eastAsia="Times New Roman"/>
              </w:rPr>
              <w:t>gelsvai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ruda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14:paraId="57204C49" w14:textId="77777777" w:rsidR="00E13A29" w:rsidRDefault="00E13A29" w:rsidP="002E34EB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 mg</w:t>
            </w:r>
          </w:p>
        </w:tc>
      </w:tr>
      <w:tr w:rsidR="00E13A29" w14:paraId="11FC25DD" w14:textId="77777777" w:rsidTr="002E34EB">
        <w:trPr>
          <w:trHeight w:val="256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14:paraId="719F8D28" w14:textId="77777777" w:rsidR="00E13A29" w:rsidRDefault="00E13A29" w:rsidP="002E34EB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Nuo 6 </w:t>
            </w:r>
            <w:proofErr w:type="spellStart"/>
            <w:r>
              <w:rPr>
                <w:rFonts w:eastAsia="Times New Roman"/>
                <w:b/>
                <w:bCs/>
              </w:rPr>
              <w:t>dienos</w:t>
            </w:r>
            <w:proofErr w:type="spellEnd"/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F72F7F" w14:textId="77777777" w:rsidR="00E13A29" w:rsidRDefault="00E13A29" w:rsidP="002E34EB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 mg (</w:t>
            </w:r>
            <w:proofErr w:type="spellStart"/>
            <w:r>
              <w:rPr>
                <w:rFonts w:eastAsia="Times New Roman"/>
              </w:rPr>
              <w:t>gelsvai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ruda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E5C744" w14:textId="77777777" w:rsidR="00E13A29" w:rsidRDefault="00E13A29" w:rsidP="002E34EB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 mg (</w:t>
            </w:r>
            <w:proofErr w:type="spellStart"/>
            <w:r>
              <w:rPr>
                <w:rFonts w:eastAsia="Times New Roman"/>
              </w:rPr>
              <w:t>gelsvai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ruda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EAEA"/>
            <w:vAlign w:val="bottom"/>
          </w:tcPr>
          <w:p w14:paraId="0B1A7B62" w14:textId="77777777" w:rsidR="00E13A29" w:rsidRDefault="00E13A29" w:rsidP="002E34EB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 mg</w:t>
            </w:r>
          </w:p>
        </w:tc>
      </w:tr>
    </w:tbl>
    <w:p w14:paraId="114538CC" w14:textId="77777777" w:rsidR="00E13A29" w:rsidRDefault="00E13A29" w:rsidP="00E13A29">
      <w:pPr>
        <w:spacing w:line="235" w:lineRule="exact"/>
        <w:rPr>
          <w:sz w:val="20"/>
          <w:szCs w:val="20"/>
        </w:rPr>
      </w:pPr>
    </w:p>
    <w:p w14:paraId="27A0B5B7" w14:textId="77777777" w:rsidR="00E13A29" w:rsidRDefault="00E13A29" w:rsidP="00E13A29">
      <w:pPr>
        <w:ind w:left="12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Žmonės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kuriems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yra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sunkių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inkstų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sutrikimų</w:t>
      </w:r>
      <w:proofErr w:type="spellEnd"/>
    </w:p>
    <w:p w14:paraId="5B67EB85" w14:textId="77777777" w:rsidR="00E13A29" w:rsidRDefault="00E13A29" w:rsidP="00E13A29">
      <w:pPr>
        <w:spacing w:line="252" w:lineRule="exact"/>
        <w:rPr>
          <w:sz w:val="20"/>
          <w:szCs w:val="20"/>
        </w:rPr>
      </w:pPr>
    </w:p>
    <w:p w14:paraId="3CC33671" w14:textId="77777777" w:rsidR="00E13A29" w:rsidRDefault="00E13A29" w:rsidP="00E13A29">
      <w:pPr>
        <w:spacing w:line="274" w:lineRule="auto"/>
        <w:ind w:left="120" w:right="520"/>
        <w:jc w:val="both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inkstų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rekomenduojama</w:t>
      </w:r>
      <w:proofErr w:type="spellEnd"/>
      <w:r>
        <w:rPr>
          <w:rFonts w:eastAsia="Times New Roman"/>
        </w:rPr>
        <w:t xml:space="preserve"> Otezla </w:t>
      </w:r>
      <w:proofErr w:type="spellStart"/>
      <w:r>
        <w:rPr>
          <w:rFonts w:eastAsia="Times New Roman"/>
        </w:rPr>
        <w:t>dozė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30 mg </w:t>
      </w:r>
      <w:proofErr w:type="spellStart"/>
      <w:r>
        <w:rPr>
          <w:rFonts w:eastAsia="Times New Roman"/>
          <w:b/>
          <w:bCs/>
        </w:rPr>
        <w:t>kartą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 xml:space="preserve">per </w:t>
      </w:r>
      <w:proofErr w:type="spellStart"/>
      <w:r>
        <w:rPr>
          <w:rFonts w:eastAsia="Times New Roman"/>
          <w:b/>
          <w:bCs/>
        </w:rPr>
        <w:t>parą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(</w:t>
      </w:r>
      <w:proofErr w:type="spellStart"/>
      <w:r>
        <w:rPr>
          <w:rFonts w:eastAsia="Times New Roman"/>
          <w:b/>
          <w:bCs/>
        </w:rPr>
        <w:t>rytinė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dozė</w:t>
      </w:r>
      <w:proofErr w:type="spellEnd"/>
      <w:r>
        <w:rPr>
          <w:rFonts w:eastAsia="Times New Roman"/>
          <w:b/>
          <w:bCs/>
        </w:rPr>
        <w:t>)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didinti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pirmą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kartą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</w:rPr>
        <w:t>pradėjus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Otezla.</w:t>
      </w:r>
    </w:p>
    <w:p w14:paraId="280C60D3" w14:textId="77777777" w:rsidR="00E13A29" w:rsidRDefault="00E13A29" w:rsidP="00E13A29">
      <w:pPr>
        <w:spacing w:line="182" w:lineRule="exact"/>
        <w:rPr>
          <w:sz w:val="20"/>
          <w:szCs w:val="20"/>
        </w:rPr>
      </w:pPr>
    </w:p>
    <w:p w14:paraId="7DEB34F9" w14:textId="77777777" w:rsidR="00E13A29" w:rsidRDefault="00E13A29" w:rsidP="00E13A29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kada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Otezla</w:t>
      </w:r>
    </w:p>
    <w:p w14:paraId="435C28BF" w14:textId="77777777" w:rsidR="00E13A29" w:rsidRDefault="00E13A29" w:rsidP="00E13A29">
      <w:pPr>
        <w:spacing w:line="272" w:lineRule="exact"/>
        <w:rPr>
          <w:sz w:val="20"/>
          <w:szCs w:val="20"/>
        </w:rPr>
      </w:pPr>
    </w:p>
    <w:p w14:paraId="4193FDA1" w14:textId="77777777" w:rsidR="00E13A29" w:rsidRDefault="00E13A29" w:rsidP="00E13A29">
      <w:pPr>
        <w:ind w:left="120"/>
        <w:rPr>
          <w:sz w:val="20"/>
          <w:szCs w:val="20"/>
        </w:rPr>
      </w:pPr>
      <w:r>
        <w:rPr>
          <w:rFonts w:eastAsia="Times New Roman"/>
        </w:rPr>
        <w:t xml:space="preserve">Otezla </w:t>
      </w:r>
      <w:proofErr w:type="spellStart"/>
      <w:r>
        <w:rPr>
          <w:rFonts w:eastAsia="Times New Roman"/>
        </w:rPr>
        <w:t>skirtas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burną</w:t>
      </w:r>
      <w:proofErr w:type="spellEnd"/>
      <w:r>
        <w:rPr>
          <w:rFonts w:eastAsia="Times New Roman"/>
        </w:rPr>
        <w:t>.</w:t>
      </w:r>
    </w:p>
    <w:p w14:paraId="6575E5F3" w14:textId="77777777" w:rsidR="00E13A29" w:rsidRDefault="00E13A29" w:rsidP="00E13A29">
      <w:pPr>
        <w:spacing w:line="16" w:lineRule="exact"/>
        <w:rPr>
          <w:sz w:val="20"/>
          <w:szCs w:val="20"/>
        </w:rPr>
      </w:pPr>
    </w:p>
    <w:p w14:paraId="77037AA8" w14:textId="77777777" w:rsidR="00E13A29" w:rsidRDefault="00E13A29" w:rsidP="00E13A29">
      <w:pPr>
        <w:ind w:left="120"/>
        <w:rPr>
          <w:sz w:val="20"/>
          <w:szCs w:val="20"/>
        </w:rPr>
      </w:pPr>
      <w:proofErr w:type="spellStart"/>
      <w:r>
        <w:rPr>
          <w:rFonts w:eastAsia="Times New Roman"/>
        </w:rPr>
        <w:t>Prarykite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geriau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užgerdami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vandeniu</w:t>
      </w:r>
      <w:proofErr w:type="spellEnd"/>
      <w:r>
        <w:rPr>
          <w:rFonts w:eastAsia="Times New Roman"/>
        </w:rPr>
        <w:t>.</w:t>
      </w:r>
    </w:p>
    <w:p w14:paraId="5B858800" w14:textId="77777777" w:rsidR="00E13A29" w:rsidRDefault="00E13A29" w:rsidP="00E13A29">
      <w:pPr>
        <w:spacing w:line="15" w:lineRule="exact"/>
        <w:rPr>
          <w:sz w:val="20"/>
          <w:szCs w:val="20"/>
        </w:rPr>
      </w:pPr>
    </w:p>
    <w:p w14:paraId="2CBF4357" w14:textId="77777777" w:rsidR="00E13A29" w:rsidRDefault="00E13A29" w:rsidP="00E13A29">
      <w:pPr>
        <w:ind w:left="120"/>
        <w:rPr>
          <w:sz w:val="20"/>
          <w:szCs w:val="20"/>
        </w:rPr>
      </w:pPr>
      <w:proofErr w:type="spellStart"/>
      <w:r>
        <w:rPr>
          <w:rFonts w:eastAsia="Times New Roman"/>
        </w:rPr>
        <w:t>Tabletes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valgio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atskirai</w:t>
      </w:r>
      <w:proofErr w:type="spellEnd"/>
      <w:r>
        <w:rPr>
          <w:rFonts w:eastAsia="Times New Roman"/>
        </w:rPr>
        <w:t>.</w:t>
      </w:r>
    </w:p>
    <w:p w14:paraId="40872431" w14:textId="77777777" w:rsidR="00E13A29" w:rsidRDefault="00E13A29" w:rsidP="00E13A29">
      <w:pPr>
        <w:spacing w:line="15" w:lineRule="exact"/>
        <w:rPr>
          <w:sz w:val="20"/>
          <w:szCs w:val="20"/>
        </w:rPr>
      </w:pPr>
    </w:p>
    <w:p w14:paraId="1B843F80" w14:textId="77777777" w:rsidR="00E13A29" w:rsidRDefault="00E13A29" w:rsidP="00E13A29">
      <w:pPr>
        <w:ind w:left="120"/>
        <w:rPr>
          <w:sz w:val="20"/>
          <w:szCs w:val="20"/>
        </w:rPr>
      </w:pPr>
      <w:proofErr w:type="spellStart"/>
      <w:r>
        <w:rPr>
          <w:rFonts w:eastAsia="Times New Roman"/>
        </w:rPr>
        <w:t>Vartokite</w:t>
      </w:r>
      <w:proofErr w:type="spellEnd"/>
      <w:r>
        <w:rPr>
          <w:rFonts w:eastAsia="Times New Roman"/>
        </w:rPr>
        <w:t xml:space="preserve"> Otezla </w:t>
      </w:r>
      <w:proofErr w:type="spellStart"/>
      <w:r>
        <w:rPr>
          <w:rFonts w:eastAsia="Times New Roman"/>
        </w:rPr>
        <w:t>maždaug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tuo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metu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kiekvieną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ryte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vakare</w:t>
      </w:r>
      <w:proofErr w:type="spellEnd"/>
      <w:r>
        <w:rPr>
          <w:rFonts w:eastAsia="Times New Roman"/>
        </w:rPr>
        <w:t>.</w:t>
      </w:r>
    </w:p>
    <w:p w14:paraId="3B84C0DB" w14:textId="77777777" w:rsidR="00E13A29" w:rsidRDefault="00E13A29" w:rsidP="00E13A29">
      <w:pPr>
        <w:spacing w:line="252" w:lineRule="exact"/>
        <w:rPr>
          <w:sz w:val="20"/>
          <w:szCs w:val="20"/>
        </w:rPr>
      </w:pPr>
    </w:p>
    <w:p w14:paraId="6EE7639A" w14:textId="77777777" w:rsidR="00E13A29" w:rsidRDefault="00E13A29" w:rsidP="00E13A29">
      <w:pPr>
        <w:ind w:left="120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po </w:t>
      </w:r>
      <w:proofErr w:type="spellStart"/>
      <w:r>
        <w:rPr>
          <w:rFonts w:eastAsia="Times New Roman"/>
        </w:rPr>
        <w:t>šešių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mėnesių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būklė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nepagerėjo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pasitarkite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>.</w:t>
      </w:r>
    </w:p>
    <w:p w14:paraId="3DE5072D" w14:textId="77777777" w:rsidR="00E13A29" w:rsidRDefault="00E13A29" w:rsidP="00E13A29">
      <w:pPr>
        <w:spacing w:line="249" w:lineRule="exact"/>
        <w:rPr>
          <w:sz w:val="20"/>
          <w:szCs w:val="20"/>
        </w:rPr>
      </w:pPr>
    </w:p>
    <w:p w14:paraId="1651297C" w14:textId="77777777" w:rsidR="00E13A29" w:rsidRDefault="00E13A29" w:rsidP="00E13A29">
      <w:pPr>
        <w:ind w:left="12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daryti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pavartojus</w:t>
      </w:r>
      <w:proofErr w:type="spellEnd"/>
      <w:r>
        <w:rPr>
          <w:rFonts w:eastAsia="Times New Roman"/>
          <w:b/>
          <w:bCs/>
        </w:rPr>
        <w:t xml:space="preserve"> per </w:t>
      </w:r>
      <w:proofErr w:type="spellStart"/>
      <w:r>
        <w:rPr>
          <w:rFonts w:eastAsia="Times New Roman"/>
          <w:b/>
          <w:bCs/>
        </w:rPr>
        <w:t>didelę</w:t>
      </w:r>
      <w:proofErr w:type="spellEnd"/>
      <w:r>
        <w:rPr>
          <w:rFonts w:eastAsia="Times New Roman"/>
          <w:b/>
          <w:bCs/>
        </w:rPr>
        <w:t xml:space="preserve"> Otezla </w:t>
      </w:r>
      <w:proofErr w:type="spellStart"/>
      <w:r>
        <w:rPr>
          <w:rFonts w:eastAsia="Times New Roman"/>
          <w:b/>
          <w:bCs/>
        </w:rPr>
        <w:t>dozę</w:t>
      </w:r>
      <w:proofErr w:type="spellEnd"/>
      <w:r>
        <w:rPr>
          <w:rFonts w:eastAsia="Times New Roman"/>
          <w:b/>
          <w:bCs/>
        </w:rPr>
        <w:t>?</w:t>
      </w:r>
    </w:p>
    <w:p w14:paraId="42B12F3F" w14:textId="77777777" w:rsidR="00E13A29" w:rsidRDefault="00E13A29" w:rsidP="00E13A29">
      <w:pPr>
        <w:spacing w:line="256" w:lineRule="exact"/>
        <w:rPr>
          <w:sz w:val="20"/>
          <w:szCs w:val="20"/>
        </w:rPr>
      </w:pPr>
    </w:p>
    <w:p w14:paraId="226E5C61" w14:textId="77777777" w:rsidR="00E13A29" w:rsidRDefault="00E13A29" w:rsidP="00E13A29">
      <w:pPr>
        <w:spacing w:line="271" w:lineRule="auto"/>
        <w:ind w:left="120" w:right="480"/>
        <w:rPr>
          <w:sz w:val="20"/>
          <w:szCs w:val="20"/>
        </w:rPr>
      </w:pPr>
      <w:proofErr w:type="spellStart"/>
      <w:r>
        <w:rPr>
          <w:rFonts w:eastAsia="Times New Roman"/>
        </w:rPr>
        <w:t>Pavartojus</w:t>
      </w:r>
      <w:proofErr w:type="spellEnd"/>
      <w:r>
        <w:rPr>
          <w:rFonts w:eastAsia="Times New Roman"/>
        </w:rPr>
        <w:t xml:space="preserve"> per </w:t>
      </w:r>
      <w:proofErr w:type="spellStart"/>
      <w:r>
        <w:rPr>
          <w:rFonts w:eastAsia="Times New Roman"/>
        </w:rPr>
        <w:t>didelę</w:t>
      </w:r>
      <w:proofErr w:type="spellEnd"/>
      <w:r>
        <w:rPr>
          <w:rFonts w:eastAsia="Times New Roman"/>
        </w:rPr>
        <w:t xml:space="preserve"> Otezla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reikia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nedelsiant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kreiptis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vykti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ligoninę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Pasiimkite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savimi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lapelį</w:t>
      </w:r>
      <w:proofErr w:type="spellEnd"/>
      <w:r>
        <w:rPr>
          <w:rFonts w:eastAsia="Times New Roman"/>
        </w:rPr>
        <w:t>.</w:t>
      </w:r>
    </w:p>
    <w:p w14:paraId="7EDABC91" w14:textId="77777777" w:rsidR="00E13A29" w:rsidRDefault="00E13A29" w:rsidP="00E13A29">
      <w:pPr>
        <w:spacing w:line="184" w:lineRule="exact"/>
        <w:rPr>
          <w:sz w:val="20"/>
          <w:szCs w:val="20"/>
        </w:rPr>
      </w:pPr>
    </w:p>
    <w:p w14:paraId="288103E2" w14:textId="77777777" w:rsidR="00E13A29" w:rsidRDefault="00E13A29" w:rsidP="00E13A29">
      <w:pPr>
        <w:ind w:left="12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Pamiršus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pavartoti</w:t>
      </w:r>
      <w:proofErr w:type="spellEnd"/>
      <w:r>
        <w:rPr>
          <w:rFonts w:eastAsia="Times New Roman"/>
          <w:b/>
          <w:bCs/>
        </w:rPr>
        <w:t xml:space="preserve"> Otezla</w:t>
      </w:r>
    </w:p>
    <w:p w14:paraId="787EBCA8" w14:textId="77777777" w:rsidR="00E13A29" w:rsidRDefault="00E13A29" w:rsidP="00E13A29">
      <w:pPr>
        <w:spacing w:line="272" w:lineRule="exact"/>
        <w:rPr>
          <w:sz w:val="20"/>
          <w:szCs w:val="20"/>
        </w:rPr>
      </w:pPr>
    </w:p>
    <w:p w14:paraId="311864C8" w14:textId="77777777" w:rsidR="00E13A29" w:rsidRDefault="00E13A29" w:rsidP="00E13A29">
      <w:pPr>
        <w:spacing w:line="247" w:lineRule="auto"/>
        <w:ind w:left="680" w:right="280"/>
        <w:rPr>
          <w:sz w:val="20"/>
          <w:szCs w:val="20"/>
        </w:rPr>
      </w:pPr>
      <w:proofErr w:type="spellStart"/>
      <w:r>
        <w:rPr>
          <w:rFonts w:eastAsia="Times New Roman"/>
        </w:rPr>
        <w:t>Pamiršę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pavartoti</w:t>
      </w:r>
      <w:proofErr w:type="spellEnd"/>
      <w:r>
        <w:rPr>
          <w:rFonts w:eastAsia="Times New Roman"/>
        </w:rPr>
        <w:t xml:space="preserve"> Otezla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vartokite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karto</w:t>
      </w:r>
      <w:proofErr w:type="spellEnd"/>
      <w:r>
        <w:rPr>
          <w:rFonts w:eastAsia="Times New Roman"/>
        </w:rPr>
        <w:t xml:space="preserve">, kai </w:t>
      </w:r>
      <w:proofErr w:type="spellStart"/>
      <w:r>
        <w:rPr>
          <w:rFonts w:eastAsia="Times New Roman"/>
        </w:rPr>
        <w:t>prisiminsite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netrukus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reikės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praleistos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nebevartokite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Vartokite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įprastu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laiku</w:t>
      </w:r>
      <w:proofErr w:type="spellEnd"/>
      <w:r>
        <w:rPr>
          <w:rFonts w:eastAsia="Times New Roman"/>
        </w:rPr>
        <w:t>.</w:t>
      </w:r>
    </w:p>
    <w:p w14:paraId="0FDF07EE" w14:textId="77777777" w:rsidR="00E13A29" w:rsidRDefault="00E13A29" w:rsidP="00E13A29">
      <w:pPr>
        <w:spacing w:line="1" w:lineRule="exact"/>
        <w:rPr>
          <w:sz w:val="20"/>
          <w:szCs w:val="20"/>
        </w:rPr>
      </w:pPr>
    </w:p>
    <w:p w14:paraId="7A3FDC92" w14:textId="77777777" w:rsidR="00E13A29" w:rsidRDefault="00E13A29" w:rsidP="00E13A29">
      <w:pPr>
        <w:ind w:left="120"/>
        <w:rPr>
          <w:sz w:val="20"/>
          <w:szCs w:val="20"/>
        </w:rPr>
      </w:pP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dvigubos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norint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kompensuoti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praleistą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dozę</w:t>
      </w:r>
      <w:proofErr w:type="spellEnd"/>
      <w:r>
        <w:rPr>
          <w:rFonts w:eastAsia="Times New Roman"/>
        </w:rPr>
        <w:t>.</w:t>
      </w:r>
    </w:p>
    <w:p w14:paraId="7EFDC632" w14:textId="77777777" w:rsidR="00E13A29" w:rsidRDefault="00E13A29" w:rsidP="00E13A29">
      <w:pPr>
        <w:spacing w:line="249" w:lineRule="exact"/>
        <w:rPr>
          <w:sz w:val="20"/>
          <w:szCs w:val="20"/>
        </w:rPr>
      </w:pPr>
    </w:p>
    <w:p w14:paraId="68A9616D" w14:textId="77777777" w:rsidR="00E13A29" w:rsidRDefault="00E13A29" w:rsidP="00E13A29">
      <w:pPr>
        <w:ind w:left="12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Nustojus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vartoti</w:t>
      </w:r>
      <w:proofErr w:type="spellEnd"/>
      <w:r>
        <w:rPr>
          <w:rFonts w:eastAsia="Times New Roman"/>
          <w:b/>
          <w:bCs/>
        </w:rPr>
        <w:t xml:space="preserve"> Otezla</w:t>
      </w:r>
    </w:p>
    <w:p w14:paraId="450B76C7" w14:textId="77777777" w:rsidR="00E13A29" w:rsidRDefault="00E13A29" w:rsidP="00E13A29">
      <w:pPr>
        <w:spacing w:line="272" w:lineRule="exact"/>
        <w:rPr>
          <w:sz w:val="20"/>
          <w:szCs w:val="20"/>
        </w:rPr>
      </w:pPr>
    </w:p>
    <w:p w14:paraId="63D88483" w14:textId="77777777" w:rsidR="00E13A29" w:rsidRDefault="00E13A29" w:rsidP="00E13A29">
      <w:pPr>
        <w:ind w:left="120"/>
        <w:rPr>
          <w:sz w:val="20"/>
          <w:szCs w:val="20"/>
        </w:rPr>
      </w:pPr>
      <w:proofErr w:type="spellStart"/>
      <w:r>
        <w:rPr>
          <w:rFonts w:eastAsia="Times New Roman"/>
        </w:rPr>
        <w:t>Turite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Otezla </w:t>
      </w:r>
      <w:proofErr w:type="spellStart"/>
      <w:r>
        <w:rPr>
          <w:rFonts w:eastAsia="Times New Roman"/>
        </w:rPr>
        <w:t>tol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>.</w:t>
      </w:r>
    </w:p>
    <w:p w14:paraId="046075BA" w14:textId="77777777" w:rsidR="00E13A29" w:rsidRDefault="00E13A29" w:rsidP="00E13A29">
      <w:pPr>
        <w:spacing w:line="16" w:lineRule="exact"/>
        <w:rPr>
          <w:sz w:val="20"/>
          <w:szCs w:val="20"/>
        </w:rPr>
      </w:pPr>
    </w:p>
    <w:p w14:paraId="039115C6" w14:textId="77777777" w:rsidR="00E13A29" w:rsidRDefault="00E13A29" w:rsidP="00E13A29">
      <w:pPr>
        <w:ind w:left="120"/>
        <w:rPr>
          <w:sz w:val="20"/>
          <w:szCs w:val="20"/>
        </w:rPr>
      </w:pPr>
      <w:proofErr w:type="spellStart"/>
      <w:r>
        <w:rPr>
          <w:rFonts w:eastAsia="Times New Roman"/>
        </w:rPr>
        <w:t>Nenustokite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Otezla, </w:t>
      </w:r>
      <w:proofErr w:type="spellStart"/>
      <w:r>
        <w:rPr>
          <w:rFonts w:eastAsia="Times New Roman"/>
        </w:rPr>
        <w:t>nepasitarę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>.</w:t>
      </w:r>
    </w:p>
    <w:p w14:paraId="6FFCFF0E" w14:textId="77777777" w:rsidR="00E13A29" w:rsidRDefault="00E13A29" w:rsidP="00E13A29">
      <w:pPr>
        <w:spacing w:line="252" w:lineRule="exact"/>
        <w:rPr>
          <w:sz w:val="20"/>
          <w:szCs w:val="20"/>
        </w:rPr>
      </w:pPr>
    </w:p>
    <w:p w14:paraId="57D1A9C8" w14:textId="77777777" w:rsidR="00E13A29" w:rsidRDefault="00E13A29" w:rsidP="00E13A29">
      <w:pPr>
        <w:ind w:left="120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kiltų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klausimų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vartojimo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kreipkitės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gydytoją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vaistininką</w:t>
      </w:r>
      <w:proofErr w:type="spellEnd"/>
      <w:r>
        <w:rPr>
          <w:rFonts w:eastAsia="Times New Roman"/>
        </w:rPr>
        <w:t>.</w:t>
      </w:r>
    </w:p>
    <w:p w14:paraId="216B3480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28C9D9FC" w14:textId="77777777" w:rsidR="00E13A29" w:rsidRDefault="00E13A29" w:rsidP="00E13A29">
      <w:pPr>
        <w:spacing w:line="303" w:lineRule="exact"/>
        <w:rPr>
          <w:sz w:val="20"/>
          <w:szCs w:val="20"/>
        </w:rPr>
      </w:pPr>
    </w:p>
    <w:p w14:paraId="62BC56F6" w14:textId="77777777" w:rsidR="00E13A29" w:rsidRDefault="00E13A29" w:rsidP="00E13A29">
      <w:pPr>
        <w:numPr>
          <w:ilvl w:val="0"/>
          <w:numId w:val="7"/>
        </w:numPr>
        <w:tabs>
          <w:tab w:val="left" w:pos="680"/>
        </w:tabs>
        <w:ind w:left="680" w:hanging="566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Galimas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</w:p>
    <w:p w14:paraId="6E6100F8" w14:textId="77777777" w:rsidR="00E13A29" w:rsidRDefault="00E13A29" w:rsidP="00E13A29">
      <w:pPr>
        <w:spacing w:line="257" w:lineRule="exact"/>
        <w:rPr>
          <w:sz w:val="20"/>
          <w:szCs w:val="20"/>
        </w:rPr>
      </w:pPr>
    </w:p>
    <w:p w14:paraId="1A6F0FA0" w14:textId="77777777" w:rsidR="00E13A29" w:rsidRDefault="00E13A29" w:rsidP="00E13A29">
      <w:pPr>
        <w:spacing w:line="479" w:lineRule="auto"/>
        <w:ind w:left="120" w:right="1260"/>
        <w:rPr>
          <w:sz w:val="20"/>
          <w:szCs w:val="20"/>
        </w:rPr>
      </w:pPr>
      <w:proofErr w:type="spellStart"/>
      <w:r>
        <w:rPr>
          <w:rFonts w:eastAsia="Times New Roman"/>
        </w:rPr>
        <w:t>Šis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kiti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sukelti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visiems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žmonėms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  <w:b/>
          <w:bCs/>
        </w:rPr>
        <w:t>Sunkus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  <w:r>
        <w:rPr>
          <w:rFonts w:eastAsia="Times New Roman"/>
          <w:b/>
          <w:bCs/>
        </w:rPr>
        <w:t xml:space="preserve"> – </w:t>
      </w:r>
      <w:proofErr w:type="spellStart"/>
      <w:r>
        <w:rPr>
          <w:rFonts w:eastAsia="Times New Roman"/>
          <w:b/>
          <w:bCs/>
        </w:rPr>
        <w:t>depresija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mintys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apie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savižudybę</w:t>
      </w:r>
      <w:proofErr w:type="spellEnd"/>
    </w:p>
    <w:p w14:paraId="31B72566" w14:textId="77777777" w:rsidR="00E13A29" w:rsidRDefault="00E13A29" w:rsidP="00E13A29">
      <w:pPr>
        <w:spacing w:line="2" w:lineRule="exact"/>
        <w:rPr>
          <w:sz w:val="20"/>
          <w:szCs w:val="20"/>
        </w:rPr>
      </w:pPr>
    </w:p>
    <w:p w14:paraId="5A227D57" w14:textId="77777777" w:rsidR="00E13A29" w:rsidRDefault="00E13A29" w:rsidP="00E13A29">
      <w:pPr>
        <w:spacing w:line="271" w:lineRule="auto"/>
        <w:ind w:left="120" w:right="460"/>
        <w:rPr>
          <w:sz w:val="20"/>
          <w:szCs w:val="20"/>
        </w:rPr>
      </w:pPr>
      <w:proofErr w:type="spellStart"/>
      <w:r>
        <w:rPr>
          <w:rFonts w:eastAsia="Times New Roman"/>
        </w:rPr>
        <w:t>Nedelsdami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elgesio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nuotaikos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pokyčius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depresijos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jausmą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mintis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savižudybę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savižudišką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elgesį</w:t>
      </w:r>
      <w:proofErr w:type="spellEnd"/>
      <w:r>
        <w:rPr>
          <w:rFonts w:eastAsia="Times New Roman"/>
        </w:rPr>
        <w:t xml:space="preserve"> (tai </w:t>
      </w:r>
      <w:proofErr w:type="spellStart"/>
      <w:r>
        <w:rPr>
          <w:rFonts w:eastAsia="Times New Roman"/>
        </w:rPr>
        <w:t>pasireiškia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nedažnai</w:t>
      </w:r>
      <w:proofErr w:type="spellEnd"/>
      <w:r>
        <w:rPr>
          <w:rFonts w:eastAsia="Times New Roman"/>
        </w:rPr>
        <w:t>).</w:t>
      </w:r>
    </w:p>
    <w:p w14:paraId="782F50CA" w14:textId="77777777" w:rsidR="00E13A29" w:rsidRDefault="00E13A29" w:rsidP="00E13A29">
      <w:pPr>
        <w:sectPr w:rsidR="00E13A29">
          <w:pgSz w:w="11900" w:h="16840"/>
          <w:pgMar w:top="1134" w:right="1004" w:bottom="183" w:left="1020" w:header="0" w:footer="0" w:gutter="0"/>
          <w:cols w:space="720" w:equalWidth="0">
            <w:col w:w="9880"/>
          </w:cols>
        </w:sectPr>
      </w:pPr>
    </w:p>
    <w:p w14:paraId="4A3B3B96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5D69BA0A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3C12F596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3E64612C" w14:textId="77777777" w:rsidR="00E13A29" w:rsidRDefault="00E13A29" w:rsidP="00E13A29">
      <w:pPr>
        <w:spacing w:line="328" w:lineRule="exact"/>
        <w:rPr>
          <w:sz w:val="20"/>
          <w:szCs w:val="20"/>
        </w:rPr>
      </w:pPr>
    </w:p>
    <w:p w14:paraId="2BF09B1E" w14:textId="77777777" w:rsidR="00E13A29" w:rsidRDefault="00E13A29" w:rsidP="00E13A29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37</w:t>
      </w:r>
    </w:p>
    <w:p w14:paraId="487BA856" w14:textId="77777777" w:rsidR="00E13A29" w:rsidRDefault="00E13A29" w:rsidP="00E13A29">
      <w:pPr>
        <w:sectPr w:rsidR="00E13A29">
          <w:type w:val="continuous"/>
          <w:pgSz w:w="11900" w:h="16840"/>
          <w:pgMar w:top="1134" w:right="1004" w:bottom="183" w:left="1020" w:header="0" w:footer="0" w:gutter="0"/>
          <w:cols w:space="720" w:equalWidth="0">
            <w:col w:w="9880"/>
          </w:cols>
        </w:sectPr>
      </w:pPr>
    </w:p>
    <w:p w14:paraId="4AF5CE4C" w14:textId="77777777" w:rsidR="00E13A29" w:rsidRDefault="00E13A29" w:rsidP="00E13A29">
      <w:pPr>
        <w:ind w:left="6"/>
        <w:rPr>
          <w:sz w:val="20"/>
          <w:szCs w:val="20"/>
        </w:rPr>
      </w:pPr>
      <w:bookmarkStart w:id="4" w:name="page38"/>
      <w:bookmarkEnd w:id="4"/>
      <w:proofErr w:type="spellStart"/>
      <w:r>
        <w:rPr>
          <w:rFonts w:eastAsia="Times New Roman"/>
          <w:b/>
          <w:bCs/>
        </w:rPr>
        <w:lastRenderedPageBreak/>
        <w:t>Labai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dažnas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>):</w:t>
      </w:r>
    </w:p>
    <w:p w14:paraId="52F81865" w14:textId="77777777" w:rsidR="00E13A29" w:rsidRDefault="00E13A29" w:rsidP="00E13A29">
      <w:pPr>
        <w:spacing w:line="19" w:lineRule="exact"/>
        <w:rPr>
          <w:sz w:val="20"/>
          <w:szCs w:val="20"/>
        </w:rPr>
      </w:pPr>
    </w:p>
    <w:p w14:paraId="12CCABEB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proofErr w:type="gramStart"/>
      <w:r>
        <w:rPr>
          <w:rFonts w:eastAsia="Times New Roman"/>
        </w:rPr>
        <w:t>viduriavimas</w:t>
      </w:r>
      <w:proofErr w:type="spellEnd"/>
      <w:r>
        <w:rPr>
          <w:rFonts w:eastAsia="Times New Roman"/>
        </w:rPr>
        <w:t>;</w:t>
      </w:r>
      <w:proofErr w:type="gramEnd"/>
    </w:p>
    <w:p w14:paraId="50EC05F3" w14:textId="77777777" w:rsidR="00E13A29" w:rsidRDefault="00E13A29" w:rsidP="00E13A29">
      <w:pPr>
        <w:spacing w:line="16" w:lineRule="exact"/>
        <w:rPr>
          <w:sz w:val="20"/>
          <w:szCs w:val="20"/>
        </w:rPr>
      </w:pPr>
    </w:p>
    <w:p w14:paraId="09AD223C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proofErr w:type="gramStart"/>
      <w:r>
        <w:rPr>
          <w:rFonts w:eastAsia="Times New Roman"/>
        </w:rPr>
        <w:t>pykinimas</w:t>
      </w:r>
      <w:proofErr w:type="spellEnd"/>
      <w:r>
        <w:rPr>
          <w:rFonts w:eastAsia="Times New Roman"/>
        </w:rPr>
        <w:t>;</w:t>
      </w:r>
      <w:proofErr w:type="gramEnd"/>
    </w:p>
    <w:p w14:paraId="5206FAF0" w14:textId="77777777" w:rsidR="00E13A29" w:rsidRDefault="00E13A29" w:rsidP="00E13A29">
      <w:pPr>
        <w:spacing w:line="15" w:lineRule="exact"/>
        <w:rPr>
          <w:sz w:val="20"/>
          <w:szCs w:val="20"/>
        </w:rPr>
      </w:pPr>
    </w:p>
    <w:p w14:paraId="70D5AA4B" w14:textId="77777777" w:rsidR="00E13A29" w:rsidRDefault="00E13A29" w:rsidP="00E13A29">
      <w:pPr>
        <w:ind w:left="6"/>
        <w:rPr>
          <w:sz w:val="20"/>
          <w:szCs w:val="20"/>
        </w:rPr>
      </w:pPr>
      <w:r>
        <w:rPr>
          <w:rFonts w:eastAsia="Times New Roman"/>
        </w:rPr>
        <w:t xml:space="preserve">galvos </w:t>
      </w:r>
      <w:proofErr w:type="spell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migrena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įtampos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tipo</w:t>
      </w:r>
      <w:proofErr w:type="spellEnd"/>
      <w:r>
        <w:rPr>
          <w:rFonts w:eastAsia="Times New Roman"/>
        </w:rPr>
        <w:t xml:space="preserve"> galvos </w:t>
      </w:r>
      <w:proofErr w:type="spellStart"/>
      <w:proofErr w:type="gram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>;</w:t>
      </w:r>
      <w:proofErr w:type="gramEnd"/>
    </w:p>
    <w:p w14:paraId="4FF2E8AB" w14:textId="77777777" w:rsidR="00E13A29" w:rsidRDefault="00E13A29" w:rsidP="00E13A29">
      <w:pPr>
        <w:spacing w:line="15" w:lineRule="exact"/>
        <w:rPr>
          <w:sz w:val="20"/>
          <w:szCs w:val="20"/>
        </w:rPr>
      </w:pPr>
    </w:p>
    <w:p w14:paraId="34D4D7D7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</w:rPr>
        <w:t>viršutinių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kvėpavimo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takų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pvz</w:t>
      </w:r>
      <w:proofErr w:type="spellEnd"/>
      <w:r>
        <w:rPr>
          <w:rFonts w:eastAsia="Times New Roman"/>
        </w:rPr>
        <w:t xml:space="preserve">., </w:t>
      </w:r>
      <w:proofErr w:type="spellStart"/>
      <w:r>
        <w:rPr>
          <w:rFonts w:eastAsia="Times New Roman"/>
        </w:rPr>
        <w:t>peršalimas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sloga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sinusų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infekcija</w:t>
      </w:r>
      <w:proofErr w:type="spellEnd"/>
      <w:r>
        <w:rPr>
          <w:rFonts w:eastAsia="Times New Roman"/>
        </w:rPr>
        <w:t>.</w:t>
      </w:r>
    </w:p>
    <w:p w14:paraId="64692646" w14:textId="77777777" w:rsidR="00E13A29" w:rsidRDefault="00E13A29" w:rsidP="00E13A29">
      <w:pPr>
        <w:spacing w:line="248" w:lineRule="exact"/>
        <w:rPr>
          <w:sz w:val="20"/>
          <w:szCs w:val="20"/>
        </w:rPr>
      </w:pPr>
    </w:p>
    <w:p w14:paraId="30EE3D19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Dažnas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>):</w:t>
      </w:r>
    </w:p>
    <w:p w14:paraId="3EAAB09D" w14:textId="77777777" w:rsidR="00E13A29" w:rsidRDefault="00E13A29" w:rsidP="00E13A29">
      <w:pPr>
        <w:spacing w:line="19" w:lineRule="exact"/>
        <w:rPr>
          <w:sz w:val="20"/>
          <w:szCs w:val="20"/>
        </w:rPr>
      </w:pPr>
    </w:p>
    <w:p w14:paraId="35464A48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proofErr w:type="gramStart"/>
      <w:r>
        <w:rPr>
          <w:rFonts w:eastAsia="Times New Roman"/>
        </w:rPr>
        <w:t>kosulys</w:t>
      </w:r>
      <w:proofErr w:type="spellEnd"/>
      <w:r>
        <w:rPr>
          <w:rFonts w:eastAsia="Times New Roman"/>
        </w:rPr>
        <w:t>;</w:t>
      </w:r>
      <w:proofErr w:type="gramEnd"/>
    </w:p>
    <w:p w14:paraId="649C7E6D" w14:textId="77777777" w:rsidR="00E13A29" w:rsidRDefault="00E13A29" w:rsidP="00E13A29">
      <w:pPr>
        <w:spacing w:line="16" w:lineRule="exact"/>
        <w:rPr>
          <w:sz w:val="20"/>
          <w:szCs w:val="20"/>
        </w:rPr>
      </w:pPr>
    </w:p>
    <w:p w14:paraId="62AB065E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</w:rPr>
        <w:t>nugaros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>;</w:t>
      </w:r>
      <w:proofErr w:type="gramEnd"/>
    </w:p>
    <w:p w14:paraId="56203E21" w14:textId="77777777" w:rsidR="00E13A29" w:rsidRDefault="00E13A29" w:rsidP="00E13A29">
      <w:pPr>
        <w:spacing w:line="15" w:lineRule="exact"/>
        <w:rPr>
          <w:sz w:val="20"/>
          <w:szCs w:val="20"/>
        </w:rPr>
      </w:pPr>
    </w:p>
    <w:p w14:paraId="2DFC6D1A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proofErr w:type="gramStart"/>
      <w:r>
        <w:rPr>
          <w:rFonts w:eastAsia="Times New Roman"/>
        </w:rPr>
        <w:t>vėmimas</w:t>
      </w:r>
      <w:proofErr w:type="spellEnd"/>
      <w:r>
        <w:rPr>
          <w:rFonts w:eastAsia="Times New Roman"/>
        </w:rPr>
        <w:t>;</w:t>
      </w:r>
      <w:proofErr w:type="gramEnd"/>
    </w:p>
    <w:p w14:paraId="47F2549D" w14:textId="77777777" w:rsidR="00E13A29" w:rsidRDefault="00E13A29" w:rsidP="00E13A29">
      <w:pPr>
        <w:spacing w:line="15" w:lineRule="exact"/>
        <w:rPr>
          <w:sz w:val="20"/>
          <w:szCs w:val="20"/>
        </w:rPr>
      </w:pPr>
    </w:p>
    <w:p w14:paraId="36A4E087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</w:rPr>
        <w:t>nuovargio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pojūtis</w:t>
      </w:r>
      <w:proofErr w:type="spellEnd"/>
      <w:r>
        <w:rPr>
          <w:rFonts w:eastAsia="Times New Roman"/>
        </w:rPr>
        <w:t>;</w:t>
      </w:r>
      <w:proofErr w:type="gramEnd"/>
    </w:p>
    <w:p w14:paraId="6E467E8C" w14:textId="77777777" w:rsidR="00E13A29" w:rsidRDefault="00E13A29" w:rsidP="00E13A29">
      <w:pPr>
        <w:spacing w:line="15" w:lineRule="exact"/>
        <w:rPr>
          <w:sz w:val="20"/>
          <w:szCs w:val="20"/>
        </w:rPr>
      </w:pPr>
    </w:p>
    <w:p w14:paraId="2171A318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</w:rPr>
        <w:t>skrandžio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skausmas</w:t>
      </w:r>
      <w:proofErr w:type="spellEnd"/>
      <w:r>
        <w:rPr>
          <w:rFonts w:eastAsia="Times New Roman"/>
        </w:rPr>
        <w:t>;</w:t>
      </w:r>
      <w:proofErr w:type="gramEnd"/>
    </w:p>
    <w:p w14:paraId="1F8A884B" w14:textId="77777777" w:rsidR="00E13A29" w:rsidRDefault="00E13A29" w:rsidP="00E13A29">
      <w:pPr>
        <w:spacing w:line="15" w:lineRule="exact"/>
        <w:rPr>
          <w:sz w:val="20"/>
          <w:szCs w:val="20"/>
        </w:rPr>
      </w:pPr>
    </w:p>
    <w:p w14:paraId="209B5E0B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</w:rPr>
        <w:t>apetito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praradimas</w:t>
      </w:r>
      <w:proofErr w:type="spellEnd"/>
      <w:r>
        <w:rPr>
          <w:rFonts w:eastAsia="Times New Roman"/>
        </w:rPr>
        <w:t>;</w:t>
      </w:r>
      <w:proofErr w:type="gramEnd"/>
    </w:p>
    <w:p w14:paraId="037399B3" w14:textId="77777777" w:rsidR="00E13A29" w:rsidRDefault="00E13A29" w:rsidP="00E13A29">
      <w:pPr>
        <w:spacing w:line="15" w:lineRule="exact"/>
        <w:rPr>
          <w:sz w:val="20"/>
          <w:szCs w:val="20"/>
        </w:rPr>
      </w:pPr>
    </w:p>
    <w:p w14:paraId="04DC295E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</w:rPr>
        <w:t>dažnas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tuštinimasis</w:t>
      </w:r>
      <w:proofErr w:type="spellEnd"/>
      <w:r>
        <w:rPr>
          <w:rFonts w:eastAsia="Times New Roman"/>
        </w:rPr>
        <w:t>;</w:t>
      </w:r>
      <w:proofErr w:type="gramEnd"/>
    </w:p>
    <w:p w14:paraId="0D2BBD9D" w14:textId="77777777" w:rsidR="00E13A29" w:rsidRDefault="00E13A29" w:rsidP="00E13A29">
      <w:pPr>
        <w:spacing w:line="15" w:lineRule="exact"/>
        <w:rPr>
          <w:sz w:val="20"/>
          <w:szCs w:val="20"/>
        </w:rPr>
      </w:pPr>
    </w:p>
    <w:p w14:paraId="6215E7EE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</w:rPr>
        <w:t>sutrikęs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miegas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nemiga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7D6F82A1" w14:textId="77777777" w:rsidR="00E13A29" w:rsidRDefault="00E13A29" w:rsidP="00E13A29">
      <w:pPr>
        <w:spacing w:line="15" w:lineRule="exact"/>
        <w:rPr>
          <w:sz w:val="20"/>
          <w:szCs w:val="20"/>
        </w:rPr>
      </w:pPr>
    </w:p>
    <w:p w14:paraId="39F34D47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</w:rPr>
        <w:t>nevirškinimas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rėmuo</w:t>
      </w:r>
      <w:proofErr w:type="spellEnd"/>
      <w:r>
        <w:rPr>
          <w:rFonts w:eastAsia="Times New Roman"/>
        </w:rPr>
        <w:t>;</w:t>
      </w:r>
      <w:proofErr w:type="gramEnd"/>
    </w:p>
    <w:p w14:paraId="45E8811F" w14:textId="77777777" w:rsidR="00E13A29" w:rsidRDefault="00E13A29" w:rsidP="00E13A29">
      <w:pPr>
        <w:spacing w:line="15" w:lineRule="exact"/>
        <w:rPr>
          <w:sz w:val="20"/>
          <w:szCs w:val="20"/>
        </w:rPr>
      </w:pPr>
    </w:p>
    <w:p w14:paraId="03AE646C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</w:rPr>
        <w:t>plaučių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trachėjos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patinimas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bronchitas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544F34C3" w14:textId="77777777" w:rsidR="00E13A29" w:rsidRDefault="00E13A29" w:rsidP="00E13A29">
      <w:pPr>
        <w:spacing w:line="15" w:lineRule="exact"/>
        <w:rPr>
          <w:sz w:val="20"/>
          <w:szCs w:val="20"/>
        </w:rPr>
      </w:pPr>
    </w:p>
    <w:p w14:paraId="7DA7F926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</w:rPr>
        <w:t>bendras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peršalimas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nosiaryklės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uždegimas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300E1E9E" w14:textId="77777777" w:rsidR="00E13A29" w:rsidRDefault="00E13A29" w:rsidP="00E13A29">
      <w:pPr>
        <w:spacing w:line="15" w:lineRule="exact"/>
        <w:rPr>
          <w:sz w:val="20"/>
          <w:szCs w:val="20"/>
        </w:rPr>
      </w:pPr>
    </w:p>
    <w:p w14:paraId="28B957F6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</w:rPr>
        <w:t>depresija</w:t>
      </w:r>
      <w:proofErr w:type="spellEnd"/>
      <w:r>
        <w:rPr>
          <w:rFonts w:eastAsia="Times New Roman"/>
        </w:rPr>
        <w:t>.</w:t>
      </w:r>
    </w:p>
    <w:p w14:paraId="6970338F" w14:textId="77777777" w:rsidR="00E13A29" w:rsidRDefault="00E13A29" w:rsidP="00E13A29">
      <w:pPr>
        <w:spacing w:line="249" w:lineRule="exact"/>
        <w:rPr>
          <w:sz w:val="20"/>
          <w:szCs w:val="20"/>
        </w:rPr>
      </w:pPr>
    </w:p>
    <w:p w14:paraId="1076E1D3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Nedažnas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pasireikšti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1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100 </w:t>
      </w:r>
      <w:proofErr w:type="spellStart"/>
      <w:r>
        <w:rPr>
          <w:rFonts w:eastAsia="Times New Roman"/>
        </w:rPr>
        <w:t>žmonių</w:t>
      </w:r>
      <w:proofErr w:type="spellEnd"/>
      <w:r>
        <w:rPr>
          <w:rFonts w:eastAsia="Times New Roman"/>
        </w:rPr>
        <w:t>):</w:t>
      </w:r>
    </w:p>
    <w:p w14:paraId="3BC20C35" w14:textId="77777777" w:rsidR="00E13A29" w:rsidRDefault="00E13A29" w:rsidP="00E13A29">
      <w:pPr>
        <w:spacing w:line="19" w:lineRule="exact"/>
        <w:rPr>
          <w:sz w:val="20"/>
          <w:szCs w:val="20"/>
        </w:rPr>
      </w:pPr>
    </w:p>
    <w:p w14:paraId="1E5B1BB5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proofErr w:type="gramStart"/>
      <w:r>
        <w:rPr>
          <w:rFonts w:eastAsia="Times New Roman"/>
        </w:rPr>
        <w:t>išbėrimas</w:t>
      </w:r>
      <w:proofErr w:type="spellEnd"/>
      <w:r>
        <w:rPr>
          <w:rFonts w:eastAsia="Times New Roman"/>
        </w:rPr>
        <w:t>;</w:t>
      </w:r>
      <w:proofErr w:type="gramEnd"/>
    </w:p>
    <w:p w14:paraId="2842A90D" w14:textId="77777777" w:rsidR="00E13A29" w:rsidRDefault="00E13A29" w:rsidP="00E13A29">
      <w:pPr>
        <w:spacing w:line="16" w:lineRule="exact"/>
        <w:rPr>
          <w:sz w:val="20"/>
          <w:szCs w:val="20"/>
        </w:rPr>
      </w:pPr>
    </w:p>
    <w:p w14:paraId="205C1757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</w:rPr>
        <w:t>dilgėlinė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urtikarija</w:t>
      </w:r>
      <w:proofErr w:type="spellEnd"/>
      <w:proofErr w:type="gramStart"/>
      <w:r>
        <w:rPr>
          <w:rFonts w:eastAsia="Times New Roman"/>
        </w:rPr>
        <w:t>);</w:t>
      </w:r>
      <w:proofErr w:type="gramEnd"/>
    </w:p>
    <w:p w14:paraId="07F82041" w14:textId="77777777" w:rsidR="00E13A29" w:rsidRDefault="00E13A29" w:rsidP="00E13A29">
      <w:pPr>
        <w:spacing w:line="15" w:lineRule="exact"/>
        <w:rPr>
          <w:sz w:val="20"/>
          <w:szCs w:val="20"/>
        </w:rPr>
      </w:pPr>
    </w:p>
    <w:p w14:paraId="54FA0134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</w:rPr>
        <w:t>svorio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mažėjimas</w:t>
      </w:r>
      <w:proofErr w:type="spellEnd"/>
      <w:r>
        <w:rPr>
          <w:rFonts w:eastAsia="Times New Roman"/>
        </w:rPr>
        <w:t>;</w:t>
      </w:r>
      <w:proofErr w:type="gramEnd"/>
    </w:p>
    <w:p w14:paraId="160D0C73" w14:textId="77777777" w:rsidR="00E13A29" w:rsidRDefault="00E13A29" w:rsidP="00E13A29">
      <w:pPr>
        <w:spacing w:line="15" w:lineRule="exact"/>
        <w:rPr>
          <w:sz w:val="20"/>
          <w:szCs w:val="20"/>
        </w:rPr>
      </w:pPr>
    </w:p>
    <w:p w14:paraId="0DA3421D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</w:rPr>
        <w:t>alerginė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reakcija</w:t>
      </w:r>
      <w:proofErr w:type="spellEnd"/>
      <w:r>
        <w:rPr>
          <w:rFonts w:eastAsia="Times New Roman"/>
        </w:rPr>
        <w:t>;</w:t>
      </w:r>
      <w:proofErr w:type="gramEnd"/>
    </w:p>
    <w:p w14:paraId="4B2C1E10" w14:textId="77777777" w:rsidR="00E13A29" w:rsidRDefault="00E13A29" w:rsidP="00E13A29">
      <w:pPr>
        <w:spacing w:line="15" w:lineRule="exact"/>
        <w:rPr>
          <w:sz w:val="20"/>
          <w:szCs w:val="20"/>
        </w:rPr>
      </w:pPr>
    </w:p>
    <w:p w14:paraId="768A293F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</w:rPr>
        <w:t>kraujavimas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žarnyno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skrandžio</w:t>
      </w:r>
      <w:proofErr w:type="spellEnd"/>
      <w:r>
        <w:rPr>
          <w:rFonts w:eastAsia="Times New Roman"/>
        </w:rPr>
        <w:t>;</w:t>
      </w:r>
      <w:proofErr w:type="gramEnd"/>
    </w:p>
    <w:p w14:paraId="2D5D4322" w14:textId="77777777" w:rsidR="00E13A29" w:rsidRDefault="00E13A29" w:rsidP="00E13A29">
      <w:pPr>
        <w:spacing w:line="15" w:lineRule="exact"/>
        <w:rPr>
          <w:sz w:val="20"/>
          <w:szCs w:val="20"/>
        </w:rPr>
      </w:pPr>
    </w:p>
    <w:p w14:paraId="6DE542E5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</w:rPr>
        <w:t>mintys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savižudybę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bandymas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nusižudyti</w:t>
      </w:r>
      <w:proofErr w:type="spellEnd"/>
      <w:r>
        <w:rPr>
          <w:rFonts w:eastAsia="Times New Roman"/>
        </w:rPr>
        <w:t>.</w:t>
      </w:r>
    </w:p>
    <w:p w14:paraId="0F443957" w14:textId="77777777" w:rsidR="00E13A29" w:rsidRDefault="00E13A29" w:rsidP="00E13A29">
      <w:pPr>
        <w:spacing w:line="248" w:lineRule="exact"/>
        <w:rPr>
          <w:sz w:val="20"/>
          <w:szCs w:val="20"/>
        </w:rPr>
      </w:pPr>
    </w:p>
    <w:p w14:paraId="475872AE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Šalutinis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poveikis</w:t>
      </w:r>
      <w:proofErr w:type="spellEnd"/>
      <w:r>
        <w:rPr>
          <w:rFonts w:eastAsia="Times New Roman"/>
          <w:b/>
          <w:bCs/>
        </w:rPr>
        <w:t xml:space="preserve">, </w:t>
      </w:r>
      <w:proofErr w:type="spellStart"/>
      <w:r>
        <w:rPr>
          <w:rFonts w:eastAsia="Times New Roman"/>
          <w:b/>
          <w:bCs/>
        </w:rPr>
        <w:t>kurio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dažnis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nežinomas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</w:t>
      </w:r>
      <w:proofErr w:type="spellStart"/>
      <w:r>
        <w:rPr>
          <w:rFonts w:eastAsia="Times New Roman"/>
        </w:rPr>
        <w:t>negali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apskaičiuotas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turimus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duomenis</w:t>
      </w:r>
      <w:proofErr w:type="spellEnd"/>
      <w:r>
        <w:rPr>
          <w:rFonts w:eastAsia="Times New Roman"/>
        </w:rPr>
        <w:t>):</w:t>
      </w:r>
    </w:p>
    <w:p w14:paraId="27346045" w14:textId="77777777" w:rsidR="00E13A29" w:rsidRDefault="00E13A29" w:rsidP="00E13A29">
      <w:pPr>
        <w:spacing w:line="19" w:lineRule="exact"/>
        <w:rPr>
          <w:sz w:val="20"/>
          <w:szCs w:val="20"/>
        </w:rPr>
      </w:pPr>
    </w:p>
    <w:p w14:paraId="1F5DEF7D" w14:textId="77777777" w:rsidR="00E13A29" w:rsidRDefault="00E13A29" w:rsidP="00E13A29">
      <w:pPr>
        <w:spacing w:line="271" w:lineRule="auto"/>
        <w:ind w:left="566"/>
        <w:rPr>
          <w:sz w:val="20"/>
          <w:szCs w:val="20"/>
        </w:rPr>
      </w:pPr>
      <w:proofErr w:type="spellStart"/>
      <w:r>
        <w:rPr>
          <w:rFonts w:eastAsia="Times New Roman"/>
        </w:rPr>
        <w:t>sunki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alerginė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reakcija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apimti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veido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lūpų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burnos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liežuvio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gerklės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patinimą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dėl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kurio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kvėpuoti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ryti</w:t>
      </w:r>
      <w:proofErr w:type="spellEnd"/>
      <w:r>
        <w:rPr>
          <w:rFonts w:eastAsia="Times New Roman"/>
        </w:rPr>
        <w:t>).</w:t>
      </w:r>
    </w:p>
    <w:p w14:paraId="71B95FA1" w14:textId="77777777" w:rsidR="00E13A29" w:rsidRDefault="00E13A29" w:rsidP="00E13A29">
      <w:pPr>
        <w:spacing w:line="189" w:lineRule="exact"/>
        <w:rPr>
          <w:sz w:val="20"/>
          <w:szCs w:val="20"/>
        </w:rPr>
      </w:pPr>
    </w:p>
    <w:p w14:paraId="6F969FCB" w14:textId="77777777" w:rsidR="00E13A29" w:rsidRDefault="00E13A29" w:rsidP="00E13A29">
      <w:pPr>
        <w:spacing w:line="270" w:lineRule="auto"/>
        <w:ind w:left="6" w:right="740"/>
        <w:rPr>
          <w:sz w:val="20"/>
          <w:szCs w:val="20"/>
        </w:rPr>
      </w:pPr>
      <w:proofErr w:type="spellStart"/>
      <w:r>
        <w:rPr>
          <w:rFonts w:eastAsia="Times New Roman"/>
        </w:rPr>
        <w:t>Sunkaus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viduriavimo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pykinimo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vėmimo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komplikacijų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rizika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didesnė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esate</w:t>
      </w:r>
      <w:proofErr w:type="spellEnd"/>
      <w:r>
        <w:rPr>
          <w:rFonts w:eastAsia="Times New Roman"/>
        </w:rPr>
        <w:t xml:space="preserve"> 65 </w:t>
      </w:r>
      <w:proofErr w:type="spellStart"/>
      <w:r>
        <w:rPr>
          <w:rFonts w:eastAsia="Times New Roman"/>
        </w:rPr>
        <w:t>metų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vyresnis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žarnyno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sutrikimai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tampa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sunkūs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turėtumėte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pasitarti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</w:t>
      </w:r>
      <w:proofErr w:type="spellEnd"/>
      <w:r>
        <w:rPr>
          <w:rFonts w:eastAsia="Times New Roman"/>
        </w:rPr>
        <w:t>.</w:t>
      </w:r>
    </w:p>
    <w:p w14:paraId="007D15C7" w14:textId="77777777" w:rsidR="00E13A29" w:rsidRDefault="00E13A29" w:rsidP="00E13A29">
      <w:pPr>
        <w:spacing w:line="185" w:lineRule="exact"/>
        <w:rPr>
          <w:sz w:val="20"/>
          <w:szCs w:val="20"/>
        </w:rPr>
      </w:pPr>
    </w:p>
    <w:p w14:paraId="59B91D7A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Pranešimas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apie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šalutinį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poveikį</w:t>
      </w:r>
      <w:proofErr w:type="spellEnd"/>
    </w:p>
    <w:p w14:paraId="2DACB547" w14:textId="77777777" w:rsidR="00E13A29" w:rsidRDefault="00E13A29" w:rsidP="00E13A29">
      <w:pPr>
        <w:spacing w:line="257" w:lineRule="exact"/>
        <w:rPr>
          <w:sz w:val="20"/>
          <w:szCs w:val="20"/>
        </w:rPr>
      </w:pPr>
    </w:p>
    <w:p w14:paraId="55B32F92" w14:textId="77777777" w:rsidR="00E13A29" w:rsidRDefault="00E13A29" w:rsidP="00E13A29">
      <w:pPr>
        <w:spacing w:line="250" w:lineRule="auto"/>
        <w:ind w:left="6" w:right="320"/>
        <w:rPr>
          <w:sz w:val="20"/>
          <w:szCs w:val="20"/>
        </w:rPr>
      </w:pPr>
      <w:proofErr w:type="spellStart"/>
      <w:r>
        <w:rPr>
          <w:rFonts w:eastAsia="Times New Roman"/>
        </w:rPr>
        <w:t>Jeigu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pasireiškė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poveikis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įskaitant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lapelyje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nenurodytą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pasakykite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gydytojui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vaistininkui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slaugytojui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pranešti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tiesiogiai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naudodamiesi</w:t>
      </w:r>
      <w:proofErr w:type="spellEnd"/>
      <w:r>
        <w:rPr>
          <w:rFonts w:eastAsia="Times New Roman"/>
        </w:rPr>
        <w:t xml:space="preserve"> V </w:t>
      </w:r>
      <w:proofErr w:type="spellStart"/>
      <w:r>
        <w:rPr>
          <w:rFonts w:eastAsia="Times New Roman"/>
        </w:rPr>
        <w:t>priede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highlight w:val="lightGray"/>
        </w:rPr>
        <w:t>nacionaline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  <w:highlight w:val="lightGray"/>
        </w:rPr>
        <w:t>pranešimo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  <w:highlight w:val="lightGray"/>
        </w:rPr>
        <w:t>sistema</w:t>
      </w:r>
      <w:proofErr w:type="spellEnd"/>
      <w:r>
        <w:rPr>
          <w:rFonts w:eastAsia="Times New Roman"/>
          <w:highlight w:val="lightGray"/>
        </w:rPr>
        <w:t xml:space="preserve">. </w:t>
      </w:r>
      <w:proofErr w:type="spellStart"/>
      <w:r>
        <w:rPr>
          <w:rFonts w:eastAsia="Times New Roman"/>
        </w:rPr>
        <w:t>Pranešdami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šalutinį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</w:rPr>
        <w:t>poveikį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</w:rPr>
        <w:t>galite</w:t>
      </w:r>
      <w:proofErr w:type="spellEnd"/>
      <w:r>
        <w:rPr>
          <w:rFonts w:eastAsia="Times New Roman"/>
        </w:rPr>
        <w:t xml:space="preserve"> mums </w:t>
      </w:r>
      <w:proofErr w:type="spellStart"/>
      <w:r>
        <w:rPr>
          <w:rFonts w:eastAsia="Times New Roman"/>
        </w:rPr>
        <w:t>padėti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gauti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daugiau</w:t>
      </w:r>
      <w:proofErr w:type="spellEnd"/>
      <w:r>
        <w:rPr>
          <w:rFonts w:eastAsia="Times New Roman"/>
          <w:highlight w:val="lightGray"/>
        </w:rPr>
        <w:t xml:space="preserve"> </w:t>
      </w:r>
      <w:proofErr w:type="spellStart"/>
      <w:r>
        <w:rPr>
          <w:rFonts w:eastAsia="Times New Roman"/>
        </w:rPr>
        <w:t>informacijos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saugumą</w:t>
      </w:r>
      <w:proofErr w:type="spellEnd"/>
      <w:r>
        <w:rPr>
          <w:rFonts w:eastAsia="Times New Roman"/>
        </w:rPr>
        <w:t>.</w:t>
      </w:r>
    </w:p>
    <w:p w14:paraId="5634D884" w14:textId="77777777" w:rsidR="00E13A29" w:rsidRDefault="00E13A29" w:rsidP="00E13A2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28D3E85" wp14:editId="7FA42850">
                <wp:simplePos x="0" y="0"/>
                <wp:positionH relativeFrom="column">
                  <wp:posOffset>4767580</wp:posOffset>
                </wp:positionH>
                <wp:positionV relativeFrom="paragraph">
                  <wp:posOffset>-498475</wp:posOffset>
                </wp:positionV>
                <wp:extent cx="1052830" cy="160020"/>
                <wp:effectExtent l="0" t="0" r="0" b="0"/>
                <wp:wrapNone/>
                <wp:docPr id="256" name="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2830" cy="1600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AB1D1E" id="Shape 256" o:spid="_x0000_s1026" style="position:absolute;margin-left:375.4pt;margin-top:-39.25pt;width:82.9pt;height:12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" o:allowincell="f" fillcolor="silver" stroked="f"/>
            </w:pict>
          </mc:Fallback>
        </mc:AlternateContent>
      </w:r>
    </w:p>
    <w:p w14:paraId="4463300C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2C370C02" w14:textId="77777777" w:rsidR="00E13A29" w:rsidRDefault="00E13A29" w:rsidP="00E13A29">
      <w:pPr>
        <w:spacing w:line="240" w:lineRule="exact"/>
        <w:rPr>
          <w:sz w:val="20"/>
          <w:szCs w:val="20"/>
        </w:rPr>
      </w:pPr>
    </w:p>
    <w:p w14:paraId="56D485C9" w14:textId="77777777" w:rsidR="00E13A29" w:rsidRDefault="00E13A29" w:rsidP="00E13A29">
      <w:pPr>
        <w:numPr>
          <w:ilvl w:val="0"/>
          <w:numId w:val="8"/>
        </w:numPr>
        <w:tabs>
          <w:tab w:val="left" w:pos="566"/>
        </w:tabs>
        <w:ind w:left="566" w:hanging="566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Kaip </w:t>
      </w:r>
      <w:proofErr w:type="spellStart"/>
      <w:r>
        <w:rPr>
          <w:rFonts w:eastAsia="Times New Roman"/>
          <w:b/>
          <w:bCs/>
        </w:rPr>
        <w:t>laikyti</w:t>
      </w:r>
      <w:proofErr w:type="spellEnd"/>
      <w:r>
        <w:rPr>
          <w:rFonts w:eastAsia="Times New Roman"/>
          <w:b/>
          <w:bCs/>
        </w:rPr>
        <w:t xml:space="preserve"> Otezla</w:t>
      </w:r>
    </w:p>
    <w:p w14:paraId="321D60CA" w14:textId="77777777" w:rsidR="00E13A29" w:rsidRDefault="00E13A29" w:rsidP="00E13A29">
      <w:pPr>
        <w:spacing w:line="271" w:lineRule="exact"/>
        <w:rPr>
          <w:sz w:val="20"/>
          <w:szCs w:val="20"/>
        </w:rPr>
      </w:pPr>
    </w:p>
    <w:p w14:paraId="2C16E706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laikykite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vaikams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nepastebimoje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nepasiekiamoje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vietoje</w:t>
      </w:r>
      <w:proofErr w:type="spellEnd"/>
      <w:r>
        <w:rPr>
          <w:rFonts w:eastAsia="Times New Roman"/>
        </w:rPr>
        <w:t>.</w:t>
      </w:r>
    </w:p>
    <w:p w14:paraId="05A98928" w14:textId="77777777" w:rsidR="00E13A29" w:rsidRDefault="00E13A29" w:rsidP="00E13A29">
      <w:pPr>
        <w:spacing w:line="16" w:lineRule="exact"/>
        <w:rPr>
          <w:sz w:val="20"/>
          <w:szCs w:val="20"/>
        </w:rPr>
      </w:pPr>
    </w:p>
    <w:p w14:paraId="53FF6AF1" w14:textId="77777777" w:rsidR="00E13A29" w:rsidRDefault="00E13A29" w:rsidP="00E13A29">
      <w:pPr>
        <w:spacing w:line="245" w:lineRule="auto"/>
        <w:ind w:left="566" w:right="540"/>
        <w:rPr>
          <w:sz w:val="20"/>
          <w:szCs w:val="20"/>
        </w:rPr>
      </w:pPr>
      <w:r>
        <w:rPr>
          <w:rFonts w:eastAsia="Times New Roman"/>
        </w:rPr>
        <w:t xml:space="preserve">Ant </w:t>
      </w:r>
      <w:proofErr w:type="spellStart"/>
      <w:r>
        <w:rPr>
          <w:rFonts w:eastAsia="Times New Roman"/>
        </w:rPr>
        <w:t>lizdinės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plokštelės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sulenkiamo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dėklo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dėžutės</w:t>
      </w:r>
      <w:proofErr w:type="spellEnd"/>
      <w:r>
        <w:rPr>
          <w:rFonts w:eastAsia="Times New Roman"/>
        </w:rPr>
        <w:t xml:space="preserve"> po „</w:t>
      </w:r>
      <w:proofErr w:type="gramStart"/>
      <w:r>
        <w:rPr>
          <w:rFonts w:eastAsia="Times New Roman"/>
        </w:rPr>
        <w:t xml:space="preserve">EXP“ </w:t>
      </w:r>
      <w:proofErr w:type="spellStart"/>
      <w:r>
        <w:rPr>
          <w:rFonts w:eastAsia="Times New Roman"/>
        </w:rPr>
        <w:t>nurodytam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tinkamumo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laikui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pasibaigus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Vaistas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paskutinės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nurodyto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mėnesio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dienos</w:t>
      </w:r>
      <w:proofErr w:type="spellEnd"/>
      <w:r>
        <w:rPr>
          <w:rFonts w:eastAsia="Times New Roman"/>
        </w:rPr>
        <w:t>.</w:t>
      </w:r>
    </w:p>
    <w:p w14:paraId="08B68E39" w14:textId="77777777" w:rsidR="00E13A29" w:rsidRDefault="00E13A29" w:rsidP="00E13A29">
      <w:pPr>
        <w:spacing w:line="1" w:lineRule="exact"/>
        <w:rPr>
          <w:sz w:val="20"/>
          <w:szCs w:val="20"/>
        </w:rPr>
      </w:pPr>
    </w:p>
    <w:p w14:paraId="5E7ADF0C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</w:rPr>
        <w:t>Laikyti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aukštesnėje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kaip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30  C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temperatūroje</w:t>
      </w:r>
      <w:proofErr w:type="spellEnd"/>
      <w:r>
        <w:rPr>
          <w:rFonts w:eastAsia="Times New Roman"/>
        </w:rPr>
        <w:t>.</w:t>
      </w:r>
    </w:p>
    <w:p w14:paraId="2ACBADFF" w14:textId="77777777" w:rsidR="00E13A29" w:rsidRDefault="00E13A29" w:rsidP="00E13A29">
      <w:pPr>
        <w:spacing w:line="15" w:lineRule="exact"/>
        <w:rPr>
          <w:sz w:val="20"/>
          <w:szCs w:val="20"/>
        </w:rPr>
      </w:pPr>
    </w:p>
    <w:p w14:paraId="62DED2EC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</w:rPr>
        <w:t>Pastebėjus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pažeidimą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matomus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sugadinimo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požymius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vartoti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>.</w:t>
      </w:r>
    </w:p>
    <w:p w14:paraId="194E85EC" w14:textId="77777777" w:rsidR="00E13A29" w:rsidRDefault="00E13A29" w:rsidP="00E13A29">
      <w:pPr>
        <w:spacing w:line="252" w:lineRule="exact"/>
        <w:rPr>
          <w:sz w:val="20"/>
          <w:szCs w:val="20"/>
        </w:rPr>
      </w:pPr>
    </w:p>
    <w:p w14:paraId="74746E92" w14:textId="77777777" w:rsidR="00E13A29" w:rsidRDefault="00E13A29" w:rsidP="00E13A29">
      <w:pPr>
        <w:spacing w:line="271" w:lineRule="auto"/>
        <w:ind w:left="6" w:right="480"/>
        <w:rPr>
          <w:sz w:val="20"/>
          <w:szCs w:val="20"/>
        </w:rPr>
      </w:pP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negalima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išmesti</w:t>
      </w:r>
      <w:proofErr w:type="spellEnd"/>
      <w:r>
        <w:rPr>
          <w:rFonts w:eastAsia="Times New Roman"/>
        </w:rPr>
        <w:t xml:space="preserve"> į </w:t>
      </w:r>
      <w:proofErr w:type="spellStart"/>
      <w:r>
        <w:rPr>
          <w:rFonts w:eastAsia="Times New Roman"/>
        </w:rPr>
        <w:t>kanalizaciją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buitinėmis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atliekomis</w:t>
      </w:r>
      <w:proofErr w:type="spellEnd"/>
      <w:r>
        <w:rPr>
          <w:rFonts w:eastAsia="Times New Roman"/>
        </w:rPr>
        <w:t xml:space="preserve">. Kaip </w:t>
      </w:r>
      <w:proofErr w:type="spellStart"/>
      <w:r>
        <w:rPr>
          <w:rFonts w:eastAsia="Times New Roman"/>
        </w:rPr>
        <w:t>išmesti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nereikalingus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klauskite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vaistininko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Šios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priemonės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apsaugoti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aplinką</w:t>
      </w:r>
      <w:proofErr w:type="spellEnd"/>
      <w:r>
        <w:rPr>
          <w:rFonts w:eastAsia="Times New Roman"/>
        </w:rPr>
        <w:t>.</w:t>
      </w:r>
    </w:p>
    <w:p w14:paraId="31C2CDF4" w14:textId="77777777" w:rsidR="00E13A29" w:rsidRDefault="00E13A29" w:rsidP="00E13A29">
      <w:pPr>
        <w:sectPr w:rsidR="00E13A29">
          <w:pgSz w:w="11900" w:h="16840"/>
          <w:pgMar w:top="1115" w:right="1144" w:bottom="183" w:left="1134" w:header="0" w:footer="0" w:gutter="0"/>
          <w:cols w:space="720" w:equalWidth="0">
            <w:col w:w="9626"/>
          </w:cols>
        </w:sectPr>
      </w:pPr>
    </w:p>
    <w:p w14:paraId="1963C74F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23E1E7FC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2C8D708F" w14:textId="77777777" w:rsidR="00E13A29" w:rsidRDefault="00E13A29" w:rsidP="00E13A29">
      <w:pPr>
        <w:spacing w:line="236" w:lineRule="exact"/>
        <w:rPr>
          <w:sz w:val="20"/>
          <w:szCs w:val="20"/>
        </w:rPr>
      </w:pPr>
    </w:p>
    <w:p w14:paraId="4923F8C3" w14:textId="77777777" w:rsidR="00E13A29" w:rsidRDefault="00E13A29" w:rsidP="00E13A29">
      <w:pPr>
        <w:ind w:right="-5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38</w:t>
      </w:r>
    </w:p>
    <w:p w14:paraId="040B3061" w14:textId="77777777" w:rsidR="00E13A29" w:rsidRDefault="00E13A29" w:rsidP="00E13A29">
      <w:pPr>
        <w:sectPr w:rsidR="00E13A29">
          <w:type w:val="continuous"/>
          <w:pgSz w:w="11900" w:h="16840"/>
          <w:pgMar w:top="1115" w:right="1144" w:bottom="183" w:left="1134" w:header="0" w:footer="0" w:gutter="0"/>
          <w:cols w:space="720" w:equalWidth="0">
            <w:col w:w="9626"/>
          </w:cols>
        </w:sectPr>
      </w:pPr>
    </w:p>
    <w:p w14:paraId="4AD631CD" w14:textId="77777777" w:rsidR="007E4133" w:rsidRDefault="00E13A29" w:rsidP="007E4133">
      <w:pPr>
        <w:numPr>
          <w:ilvl w:val="0"/>
          <w:numId w:val="9"/>
        </w:numPr>
        <w:tabs>
          <w:tab w:val="left" w:pos="360"/>
        </w:tabs>
        <w:spacing w:line="481" w:lineRule="auto"/>
        <w:ind w:left="-90" w:right="5640"/>
        <w:rPr>
          <w:rFonts w:eastAsia="Times New Roman"/>
          <w:b/>
          <w:bCs/>
        </w:rPr>
      </w:pPr>
      <w:bookmarkStart w:id="5" w:name="page39"/>
      <w:bookmarkEnd w:id="5"/>
      <w:proofErr w:type="spellStart"/>
      <w:r>
        <w:rPr>
          <w:rFonts w:eastAsia="Times New Roman"/>
          <w:b/>
          <w:bCs/>
        </w:rPr>
        <w:lastRenderedPageBreak/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turinys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kita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informacija</w:t>
      </w:r>
      <w:proofErr w:type="spellEnd"/>
      <w:r>
        <w:rPr>
          <w:rFonts w:eastAsia="Times New Roman"/>
          <w:b/>
          <w:bCs/>
        </w:rPr>
        <w:t xml:space="preserve"> </w:t>
      </w:r>
    </w:p>
    <w:p w14:paraId="3C4B9D0E" w14:textId="08AF5ED8" w:rsidR="00E13A29" w:rsidRDefault="00E13A29" w:rsidP="007E4133">
      <w:pPr>
        <w:tabs>
          <w:tab w:val="left" w:pos="573"/>
        </w:tabs>
        <w:spacing w:line="481" w:lineRule="auto"/>
        <w:ind w:left="6" w:right="564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Otezla </w:t>
      </w:r>
      <w:proofErr w:type="spellStart"/>
      <w:r>
        <w:rPr>
          <w:rFonts w:eastAsia="Times New Roman"/>
          <w:b/>
          <w:bCs/>
        </w:rPr>
        <w:t>sudėtis</w:t>
      </w:r>
      <w:proofErr w:type="spellEnd"/>
    </w:p>
    <w:p w14:paraId="3BD4F52F" w14:textId="77777777" w:rsidR="00E13A29" w:rsidRDefault="00E13A29" w:rsidP="00E13A29">
      <w:pPr>
        <w:spacing w:line="2" w:lineRule="exact"/>
        <w:rPr>
          <w:sz w:val="20"/>
          <w:szCs w:val="20"/>
        </w:rPr>
      </w:pPr>
    </w:p>
    <w:p w14:paraId="73CED068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</w:rPr>
        <w:t>Veiklioji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apremilastas</w:t>
      </w:r>
      <w:proofErr w:type="spellEnd"/>
      <w:r>
        <w:rPr>
          <w:rFonts w:eastAsia="Times New Roman"/>
        </w:rPr>
        <w:t>.</w:t>
      </w:r>
    </w:p>
    <w:p w14:paraId="601E18CB" w14:textId="77777777" w:rsidR="00E13A29" w:rsidRDefault="00E13A29" w:rsidP="00E13A29">
      <w:pPr>
        <w:spacing w:line="15" w:lineRule="exact"/>
        <w:rPr>
          <w:sz w:val="20"/>
          <w:szCs w:val="20"/>
        </w:rPr>
      </w:pPr>
    </w:p>
    <w:p w14:paraId="7DAA1D0D" w14:textId="77777777" w:rsidR="00E13A29" w:rsidRDefault="00E13A29" w:rsidP="00E13A29">
      <w:pPr>
        <w:ind w:left="6"/>
        <w:rPr>
          <w:sz w:val="20"/>
          <w:szCs w:val="20"/>
        </w:rPr>
      </w:pPr>
      <w:r>
        <w:rPr>
          <w:rFonts w:eastAsia="Times New Roman"/>
        </w:rPr>
        <w:t xml:space="preserve">Otezla 10 mg </w:t>
      </w:r>
      <w:proofErr w:type="spellStart"/>
      <w:r>
        <w:rPr>
          <w:rFonts w:eastAsia="Times New Roman"/>
        </w:rPr>
        <w:t>plėvele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dengtos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kiekvienoje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plėvele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dengtoje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10 mg </w:t>
      </w:r>
      <w:proofErr w:type="spellStart"/>
      <w:r>
        <w:rPr>
          <w:rFonts w:eastAsia="Times New Roman"/>
        </w:rPr>
        <w:t>apremilasto</w:t>
      </w:r>
      <w:proofErr w:type="spellEnd"/>
      <w:r>
        <w:rPr>
          <w:rFonts w:eastAsia="Times New Roman"/>
        </w:rPr>
        <w:t>.</w:t>
      </w:r>
    </w:p>
    <w:p w14:paraId="02297EDA" w14:textId="77777777" w:rsidR="00E13A29" w:rsidRDefault="00E13A29" w:rsidP="00E13A29">
      <w:pPr>
        <w:spacing w:line="16" w:lineRule="exact"/>
        <w:rPr>
          <w:sz w:val="20"/>
          <w:szCs w:val="20"/>
        </w:rPr>
      </w:pPr>
    </w:p>
    <w:p w14:paraId="0CF41FE1" w14:textId="77777777" w:rsidR="00E13A29" w:rsidRDefault="00E13A29" w:rsidP="00E13A29">
      <w:pPr>
        <w:ind w:left="6"/>
        <w:rPr>
          <w:sz w:val="20"/>
          <w:szCs w:val="20"/>
        </w:rPr>
      </w:pPr>
      <w:r>
        <w:rPr>
          <w:rFonts w:eastAsia="Times New Roman"/>
        </w:rPr>
        <w:t xml:space="preserve">Otezla 20 mg </w:t>
      </w:r>
      <w:proofErr w:type="spellStart"/>
      <w:r>
        <w:rPr>
          <w:rFonts w:eastAsia="Times New Roman"/>
        </w:rPr>
        <w:t>plėvele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dengtos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kiekvienoje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plėvele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dengtoje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20 mg </w:t>
      </w:r>
      <w:proofErr w:type="spellStart"/>
      <w:r>
        <w:rPr>
          <w:rFonts w:eastAsia="Times New Roman"/>
        </w:rPr>
        <w:t>apremilasto</w:t>
      </w:r>
      <w:proofErr w:type="spellEnd"/>
      <w:r>
        <w:rPr>
          <w:rFonts w:eastAsia="Times New Roman"/>
        </w:rPr>
        <w:t>.</w:t>
      </w:r>
    </w:p>
    <w:p w14:paraId="0C77B470" w14:textId="77777777" w:rsidR="00E13A29" w:rsidRDefault="00E13A29" w:rsidP="00E13A29">
      <w:pPr>
        <w:spacing w:line="15" w:lineRule="exact"/>
        <w:rPr>
          <w:sz w:val="20"/>
          <w:szCs w:val="20"/>
        </w:rPr>
      </w:pPr>
    </w:p>
    <w:p w14:paraId="6751F1E9" w14:textId="77777777" w:rsidR="00E13A29" w:rsidRDefault="00E13A29" w:rsidP="00E13A29">
      <w:pPr>
        <w:ind w:left="6"/>
        <w:rPr>
          <w:sz w:val="20"/>
          <w:szCs w:val="20"/>
        </w:rPr>
      </w:pPr>
      <w:r>
        <w:rPr>
          <w:rFonts w:eastAsia="Times New Roman"/>
        </w:rPr>
        <w:t xml:space="preserve">Otezla 30 mg </w:t>
      </w:r>
      <w:proofErr w:type="spellStart"/>
      <w:r>
        <w:rPr>
          <w:rFonts w:eastAsia="Times New Roman"/>
        </w:rPr>
        <w:t>plėvele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dengtos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kiekvienoje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plėvele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dengtoje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30 mg </w:t>
      </w:r>
      <w:proofErr w:type="spellStart"/>
      <w:r>
        <w:rPr>
          <w:rFonts w:eastAsia="Times New Roman"/>
        </w:rPr>
        <w:t>apremilasto</w:t>
      </w:r>
      <w:proofErr w:type="spellEnd"/>
      <w:r>
        <w:rPr>
          <w:rFonts w:eastAsia="Times New Roman"/>
        </w:rPr>
        <w:t>.</w:t>
      </w:r>
    </w:p>
    <w:p w14:paraId="4DBA624C" w14:textId="77777777" w:rsidR="00E13A29" w:rsidRDefault="00E13A29" w:rsidP="00E13A29">
      <w:pPr>
        <w:spacing w:line="252" w:lineRule="exact"/>
        <w:rPr>
          <w:sz w:val="20"/>
          <w:szCs w:val="20"/>
        </w:rPr>
      </w:pPr>
    </w:p>
    <w:p w14:paraId="0259CAB7" w14:textId="77777777" w:rsidR="00E13A29" w:rsidRDefault="00E13A29" w:rsidP="00E13A29">
      <w:pPr>
        <w:spacing w:line="247" w:lineRule="auto"/>
        <w:ind w:left="6" w:right="20"/>
        <w:rPr>
          <w:sz w:val="20"/>
          <w:szCs w:val="20"/>
        </w:rPr>
      </w:pPr>
      <w:proofErr w:type="spellStart"/>
      <w:r>
        <w:rPr>
          <w:rFonts w:eastAsia="Times New Roman"/>
        </w:rPr>
        <w:t>Pagalbinės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medžiagos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šerdyje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mikrokristalinė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celiuliozė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laktozė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monohidratas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kroskarmeliozės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natrio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druska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magnio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stearatas</w:t>
      </w:r>
      <w:proofErr w:type="spellEnd"/>
      <w:r>
        <w:rPr>
          <w:rFonts w:eastAsia="Times New Roman"/>
        </w:rPr>
        <w:t>.</w:t>
      </w:r>
    </w:p>
    <w:p w14:paraId="49C27E6F" w14:textId="77777777" w:rsidR="00E13A29" w:rsidRDefault="00E13A29" w:rsidP="00E13A29">
      <w:pPr>
        <w:spacing w:line="248" w:lineRule="auto"/>
        <w:ind w:left="566" w:right="120"/>
        <w:rPr>
          <w:sz w:val="20"/>
          <w:szCs w:val="20"/>
        </w:rPr>
      </w:pP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plėvelės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sudėtyje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polivinilo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alkoholio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titano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dioksido</w:t>
      </w:r>
      <w:proofErr w:type="spellEnd"/>
      <w:r>
        <w:rPr>
          <w:rFonts w:eastAsia="Times New Roman"/>
        </w:rPr>
        <w:t xml:space="preserve"> (E171), </w:t>
      </w:r>
      <w:proofErr w:type="spellStart"/>
      <w:r>
        <w:rPr>
          <w:rFonts w:eastAsia="Times New Roman"/>
        </w:rPr>
        <w:t>makrogolio</w:t>
      </w:r>
      <w:proofErr w:type="spellEnd"/>
      <w:r>
        <w:rPr>
          <w:rFonts w:eastAsia="Times New Roman"/>
        </w:rPr>
        <w:t xml:space="preserve"> (3350), </w:t>
      </w:r>
      <w:proofErr w:type="spellStart"/>
      <w:r>
        <w:rPr>
          <w:rFonts w:eastAsia="Times New Roman"/>
        </w:rPr>
        <w:t>talko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raudonojo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geležies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oksido</w:t>
      </w:r>
      <w:proofErr w:type="spellEnd"/>
      <w:r>
        <w:rPr>
          <w:rFonts w:eastAsia="Times New Roman"/>
        </w:rPr>
        <w:t xml:space="preserve"> (E172).</w:t>
      </w:r>
    </w:p>
    <w:p w14:paraId="45794BC2" w14:textId="77777777" w:rsidR="00E13A29" w:rsidRDefault="00E13A29" w:rsidP="00E13A29">
      <w:pPr>
        <w:ind w:left="6"/>
        <w:rPr>
          <w:sz w:val="20"/>
          <w:szCs w:val="20"/>
        </w:rPr>
      </w:pPr>
      <w:r>
        <w:rPr>
          <w:rFonts w:eastAsia="Times New Roman"/>
        </w:rPr>
        <w:t xml:space="preserve">20 mg </w:t>
      </w:r>
      <w:proofErr w:type="spellStart"/>
      <w:r>
        <w:rPr>
          <w:rFonts w:eastAsia="Times New Roman"/>
        </w:rPr>
        <w:t>plėvele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dengtos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sudėtyje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geltonojo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geležies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oksido</w:t>
      </w:r>
      <w:proofErr w:type="spellEnd"/>
      <w:r>
        <w:rPr>
          <w:rFonts w:eastAsia="Times New Roman"/>
        </w:rPr>
        <w:t xml:space="preserve"> (E172).</w:t>
      </w:r>
    </w:p>
    <w:p w14:paraId="595C1D61" w14:textId="77777777" w:rsidR="00E13A29" w:rsidRDefault="00E13A29" w:rsidP="00E13A29">
      <w:pPr>
        <w:spacing w:line="15" w:lineRule="exact"/>
        <w:rPr>
          <w:sz w:val="20"/>
          <w:szCs w:val="20"/>
        </w:rPr>
      </w:pPr>
    </w:p>
    <w:p w14:paraId="3DDFEC27" w14:textId="77777777" w:rsidR="00E13A29" w:rsidRDefault="00E13A29" w:rsidP="00E13A29">
      <w:pPr>
        <w:spacing w:line="271" w:lineRule="auto"/>
        <w:ind w:left="566" w:right="600"/>
        <w:rPr>
          <w:sz w:val="20"/>
          <w:szCs w:val="20"/>
        </w:rPr>
      </w:pPr>
      <w:r>
        <w:rPr>
          <w:rFonts w:eastAsia="Times New Roman"/>
        </w:rPr>
        <w:t xml:space="preserve">30 mg </w:t>
      </w:r>
      <w:proofErr w:type="spellStart"/>
      <w:r>
        <w:rPr>
          <w:rFonts w:eastAsia="Times New Roman"/>
        </w:rPr>
        <w:t>plėvele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dengtos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sudėtyje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taip</w:t>
      </w:r>
      <w:proofErr w:type="spellEnd"/>
      <w:r>
        <w:rPr>
          <w:rFonts w:eastAsia="Times New Roman"/>
        </w:rPr>
        <w:t xml:space="preserve"> pat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geltonojo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geležies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oksido</w:t>
      </w:r>
      <w:proofErr w:type="spellEnd"/>
      <w:r>
        <w:rPr>
          <w:rFonts w:eastAsia="Times New Roman"/>
        </w:rPr>
        <w:t xml:space="preserve"> (E172)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juodojo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geležies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oksido</w:t>
      </w:r>
      <w:proofErr w:type="spellEnd"/>
      <w:r>
        <w:rPr>
          <w:rFonts w:eastAsia="Times New Roman"/>
        </w:rPr>
        <w:t xml:space="preserve"> (E172).</w:t>
      </w:r>
    </w:p>
    <w:p w14:paraId="52736CCF" w14:textId="77777777" w:rsidR="00E13A29" w:rsidRDefault="00E13A29" w:rsidP="00E13A29">
      <w:pPr>
        <w:spacing w:line="183" w:lineRule="exact"/>
        <w:rPr>
          <w:sz w:val="20"/>
          <w:szCs w:val="20"/>
        </w:rPr>
      </w:pPr>
    </w:p>
    <w:p w14:paraId="31221678" w14:textId="77777777" w:rsidR="00E13A29" w:rsidRDefault="00E13A29" w:rsidP="00E13A29">
      <w:pPr>
        <w:ind w:left="6"/>
        <w:rPr>
          <w:sz w:val="20"/>
          <w:szCs w:val="20"/>
        </w:rPr>
      </w:pPr>
      <w:r>
        <w:rPr>
          <w:rFonts w:eastAsia="Times New Roman"/>
          <w:b/>
          <w:bCs/>
        </w:rPr>
        <w:t xml:space="preserve">Otezla </w:t>
      </w:r>
      <w:proofErr w:type="spellStart"/>
      <w:r>
        <w:rPr>
          <w:rFonts w:eastAsia="Times New Roman"/>
          <w:b/>
          <w:bCs/>
        </w:rPr>
        <w:t>išvaizda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kiekis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pakuotėje</w:t>
      </w:r>
      <w:proofErr w:type="spellEnd"/>
    </w:p>
    <w:p w14:paraId="03C4C833" w14:textId="77777777" w:rsidR="00E13A29" w:rsidRDefault="00E13A29" w:rsidP="00E13A29">
      <w:pPr>
        <w:spacing w:line="257" w:lineRule="exact"/>
        <w:rPr>
          <w:sz w:val="20"/>
          <w:szCs w:val="20"/>
        </w:rPr>
      </w:pPr>
    </w:p>
    <w:p w14:paraId="2F40EE65" w14:textId="77777777" w:rsidR="00E13A29" w:rsidRDefault="00E13A29" w:rsidP="00E13A29">
      <w:pPr>
        <w:ind w:left="6" w:right="20"/>
        <w:rPr>
          <w:sz w:val="20"/>
          <w:szCs w:val="20"/>
        </w:rPr>
      </w:pPr>
      <w:r>
        <w:rPr>
          <w:rFonts w:eastAsia="Times New Roman"/>
        </w:rPr>
        <w:t xml:space="preserve">Otezla 10 mg </w:t>
      </w:r>
      <w:proofErr w:type="spellStart"/>
      <w:r>
        <w:rPr>
          <w:rFonts w:eastAsia="Times New Roman"/>
        </w:rPr>
        <w:t>plėvele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dengta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rausva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rombo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pavidalo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plėvele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dengta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pusėje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įspausta</w:t>
      </w:r>
      <w:proofErr w:type="spellEnd"/>
      <w:r>
        <w:rPr>
          <w:rFonts w:eastAsia="Times New Roman"/>
        </w:rPr>
        <w:t xml:space="preserve"> „</w:t>
      </w:r>
      <w:proofErr w:type="gramStart"/>
      <w:r>
        <w:rPr>
          <w:rFonts w:eastAsia="Times New Roman"/>
        </w:rPr>
        <w:t>APR“</w:t>
      </w:r>
      <w:proofErr w:type="gram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kitoje</w:t>
      </w:r>
      <w:proofErr w:type="spellEnd"/>
      <w:r>
        <w:rPr>
          <w:rFonts w:eastAsia="Times New Roman"/>
        </w:rPr>
        <w:t xml:space="preserve"> – „10“.</w:t>
      </w:r>
    </w:p>
    <w:p w14:paraId="6906766D" w14:textId="77777777" w:rsidR="00E13A29" w:rsidRDefault="00E13A29" w:rsidP="00E13A29">
      <w:pPr>
        <w:spacing w:line="1" w:lineRule="exact"/>
        <w:rPr>
          <w:sz w:val="20"/>
          <w:szCs w:val="20"/>
        </w:rPr>
      </w:pPr>
    </w:p>
    <w:p w14:paraId="37FA165B" w14:textId="77777777" w:rsidR="00E13A29" w:rsidRDefault="00E13A29" w:rsidP="00E13A29">
      <w:pPr>
        <w:spacing w:line="239" w:lineRule="auto"/>
        <w:ind w:left="6" w:right="200"/>
        <w:rPr>
          <w:sz w:val="20"/>
          <w:szCs w:val="20"/>
        </w:rPr>
      </w:pPr>
      <w:r>
        <w:rPr>
          <w:rFonts w:eastAsia="Times New Roman"/>
        </w:rPr>
        <w:t xml:space="preserve">Otezla 20 mg </w:t>
      </w:r>
      <w:proofErr w:type="spellStart"/>
      <w:r>
        <w:rPr>
          <w:rFonts w:eastAsia="Times New Roman"/>
        </w:rPr>
        <w:t>plėvele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dengta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ruda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rombo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pavidalo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plėvele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dengta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pusėje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įspausta</w:t>
      </w:r>
      <w:proofErr w:type="spellEnd"/>
      <w:r>
        <w:rPr>
          <w:rFonts w:eastAsia="Times New Roman"/>
        </w:rPr>
        <w:t xml:space="preserve"> „</w:t>
      </w:r>
      <w:proofErr w:type="gramStart"/>
      <w:r>
        <w:rPr>
          <w:rFonts w:eastAsia="Times New Roman"/>
        </w:rPr>
        <w:t>APR“</w:t>
      </w:r>
      <w:proofErr w:type="gram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kitoje</w:t>
      </w:r>
      <w:proofErr w:type="spellEnd"/>
      <w:r>
        <w:rPr>
          <w:rFonts w:eastAsia="Times New Roman"/>
        </w:rPr>
        <w:t xml:space="preserve"> – „20“.</w:t>
      </w:r>
    </w:p>
    <w:p w14:paraId="103863F9" w14:textId="77777777" w:rsidR="00E13A29" w:rsidRDefault="00E13A29" w:rsidP="00E13A29">
      <w:pPr>
        <w:spacing w:line="1" w:lineRule="exact"/>
        <w:rPr>
          <w:sz w:val="20"/>
          <w:szCs w:val="20"/>
        </w:rPr>
      </w:pPr>
    </w:p>
    <w:p w14:paraId="5E6002CC" w14:textId="77777777" w:rsidR="00E13A29" w:rsidRDefault="00E13A29" w:rsidP="00E13A29">
      <w:pPr>
        <w:spacing w:line="271" w:lineRule="auto"/>
        <w:ind w:left="6" w:right="140"/>
        <w:rPr>
          <w:sz w:val="20"/>
          <w:szCs w:val="20"/>
        </w:rPr>
      </w:pPr>
      <w:r>
        <w:rPr>
          <w:rFonts w:eastAsia="Times New Roman"/>
        </w:rPr>
        <w:t xml:space="preserve">Otezla 30 mg </w:t>
      </w:r>
      <w:proofErr w:type="spellStart"/>
      <w:r>
        <w:rPr>
          <w:rFonts w:eastAsia="Times New Roman"/>
        </w:rPr>
        <w:t>plėvele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dengta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gelsvai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ruda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rombo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pavidalo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plėvele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dengta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pusėje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įspausta</w:t>
      </w:r>
      <w:proofErr w:type="spellEnd"/>
      <w:r>
        <w:rPr>
          <w:rFonts w:eastAsia="Times New Roman"/>
        </w:rPr>
        <w:t xml:space="preserve"> „</w:t>
      </w:r>
      <w:proofErr w:type="gramStart"/>
      <w:r>
        <w:rPr>
          <w:rFonts w:eastAsia="Times New Roman"/>
        </w:rPr>
        <w:t>APR“</w:t>
      </w:r>
      <w:proofErr w:type="gram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kitoje</w:t>
      </w:r>
      <w:proofErr w:type="spellEnd"/>
      <w:r>
        <w:rPr>
          <w:rFonts w:eastAsia="Times New Roman"/>
        </w:rPr>
        <w:t xml:space="preserve"> – „30“.</w:t>
      </w:r>
    </w:p>
    <w:p w14:paraId="245846EB" w14:textId="77777777" w:rsidR="00E13A29" w:rsidRDefault="00E13A29" w:rsidP="00E13A29">
      <w:pPr>
        <w:spacing w:line="188" w:lineRule="exact"/>
        <w:rPr>
          <w:sz w:val="20"/>
          <w:szCs w:val="20"/>
        </w:rPr>
      </w:pPr>
    </w:p>
    <w:p w14:paraId="69A5740B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  <w:u w:val="single"/>
        </w:rPr>
        <w:t>Pakuočių</w:t>
      </w:r>
      <w:proofErr w:type="spellEnd"/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/>
          <w:u w:val="single"/>
        </w:rPr>
        <w:t>dydžiai</w:t>
      </w:r>
      <w:proofErr w:type="spellEnd"/>
    </w:p>
    <w:p w14:paraId="0B61BF90" w14:textId="77777777" w:rsidR="00E13A29" w:rsidRDefault="00E13A29" w:rsidP="00E13A29">
      <w:pPr>
        <w:spacing w:line="15" w:lineRule="exact"/>
        <w:rPr>
          <w:sz w:val="20"/>
          <w:szCs w:val="20"/>
        </w:rPr>
      </w:pPr>
    </w:p>
    <w:p w14:paraId="3FFEAA90" w14:textId="77777777" w:rsidR="00E13A29" w:rsidRDefault="00E13A29" w:rsidP="00E13A29">
      <w:pPr>
        <w:spacing w:line="248" w:lineRule="auto"/>
        <w:ind w:left="566"/>
        <w:rPr>
          <w:sz w:val="20"/>
          <w:szCs w:val="20"/>
        </w:rPr>
      </w:pPr>
      <w:proofErr w:type="spellStart"/>
      <w:r>
        <w:rPr>
          <w:rFonts w:eastAsia="Times New Roman"/>
        </w:rPr>
        <w:t>Gydymo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pradžios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sulenkiamas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dėklas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kuriame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27 </w:t>
      </w:r>
      <w:proofErr w:type="spellStart"/>
      <w:r>
        <w:rPr>
          <w:rFonts w:eastAsia="Times New Roman"/>
        </w:rPr>
        <w:t>plėvele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dengtos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 xml:space="preserve">: 4 x 10 mg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 xml:space="preserve">, 4 x 20 mg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19 x 30 mg </w:t>
      </w:r>
      <w:proofErr w:type="spellStart"/>
      <w:r>
        <w:rPr>
          <w:rFonts w:eastAsia="Times New Roman"/>
        </w:rPr>
        <w:t>tablečių</w:t>
      </w:r>
      <w:proofErr w:type="spellEnd"/>
      <w:r>
        <w:rPr>
          <w:rFonts w:eastAsia="Times New Roman"/>
        </w:rPr>
        <w:t>.</w:t>
      </w:r>
    </w:p>
    <w:p w14:paraId="27E23972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</w:rPr>
        <w:t>Vieno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mėnesio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standartinėje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56 x 30 mg </w:t>
      </w:r>
      <w:proofErr w:type="spellStart"/>
      <w:r>
        <w:rPr>
          <w:rFonts w:eastAsia="Times New Roman"/>
        </w:rPr>
        <w:t>plėvele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dengtos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>.</w:t>
      </w:r>
    </w:p>
    <w:p w14:paraId="2CC289CE" w14:textId="77777777" w:rsidR="00E13A29" w:rsidRDefault="00E13A29" w:rsidP="00E13A29">
      <w:pPr>
        <w:spacing w:line="15" w:lineRule="exact"/>
        <w:rPr>
          <w:sz w:val="20"/>
          <w:szCs w:val="20"/>
        </w:rPr>
      </w:pPr>
    </w:p>
    <w:p w14:paraId="3E2D70F0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</w:rPr>
        <w:t>Trijų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mėnesių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standartinėje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pakuotėje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yra</w:t>
      </w:r>
      <w:proofErr w:type="spellEnd"/>
      <w:r>
        <w:rPr>
          <w:rFonts w:eastAsia="Times New Roman"/>
        </w:rPr>
        <w:t xml:space="preserve"> 168 x 30 mg </w:t>
      </w:r>
      <w:proofErr w:type="spellStart"/>
      <w:r>
        <w:rPr>
          <w:rFonts w:eastAsia="Times New Roman"/>
        </w:rPr>
        <w:t>plėvele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dengtos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tabletės</w:t>
      </w:r>
      <w:proofErr w:type="spellEnd"/>
      <w:r>
        <w:rPr>
          <w:rFonts w:eastAsia="Times New Roman"/>
        </w:rPr>
        <w:t>.</w:t>
      </w:r>
    </w:p>
    <w:p w14:paraId="70527D81" w14:textId="77777777" w:rsidR="00E13A29" w:rsidRDefault="00E13A29" w:rsidP="00E13A29">
      <w:pPr>
        <w:spacing w:line="248" w:lineRule="exact"/>
        <w:rPr>
          <w:sz w:val="20"/>
          <w:szCs w:val="20"/>
        </w:rPr>
      </w:pPr>
    </w:p>
    <w:p w14:paraId="27A5A14C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Registruotojas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ir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gamintojas</w:t>
      </w:r>
      <w:proofErr w:type="spellEnd"/>
    </w:p>
    <w:p w14:paraId="18299596" w14:textId="77777777" w:rsidR="00E13A29" w:rsidRDefault="00E13A29" w:rsidP="00E13A29">
      <w:pPr>
        <w:spacing w:line="4" w:lineRule="exact"/>
        <w:rPr>
          <w:sz w:val="20"/>
          <w:szCs w:val="20"/>
        </w:rPr>
      </w:pPr>
    </w:p>
    <w:p w14:paraId="0E5C5F15" w14:textId="77777777" w:rsidR="00E13A29" w:rsidRDefault="00E13A29" w:rsidP="00E13A29">
      <w:pPr>
        <w:ind w:left="6"/>
        <w:rPr>
          <w:sz w:val="20"/>
          <w:szCs w:val="20"/>
        </w:rPr>
      </w:pPr>
      <w:r>
        <w:rPr>
          <w:rFonts w:eastAsia="Times New Roman"/>
        </w:rPr>
        <w:t>Amgen Europe B.V.</w:t>
      </w:r>
    </w:p>
    <w:p w14:paraId="08B855F7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</w:rPr>
        <w:t>Minervum</w:t>
      </w:r>
      <w:proofErr w:type="spellEnd"/>
      <w:r>
        <w:rPr>
          <w:rFonts w:eastAsia="Times New Roman"/>
        </w:rPr>
        <w:t xml:space="preserve"> 7061</w:t>
      </w:r>
    </w:p>
    <w:p w14:paraId="22C69416" w14:textId="77777777" w:rsidR="00E13A29" w:rsidRDefault="00E13A29" w:rsidP="00E13A29">
      <w:pPr>
        <w:ind w:left="6"/>
        <w:rPr>
          <w:sz w:val="20"/>
          <w:szCs w:val="20"/>
        </w:rPr>
      </w:pPr>
      <w:r>
        <w:rPr>
          <w:rFonts w:eastAsia="Times New Roman"/>
        </w:rPr>
        <w:t>4817 ZK Breda</w:t>
      </w:r>
    </w:p>
    <w:p w14:paraId="372BE20A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</w:rPr>
        <w:t>Nyderlandai</w:t>
      </w:r>
      <w:proofErr w:type="spellEnd"/>
    </w:p>
    <w:p w14:paraId="298B6F81" w14:textId="77777777" w:rsidR="00E13A29" w:rsidRDefault="00E13A29" w:rsidP="00E13A29">
      <w:pPr>
        <w:spacing w:line="249" w:lineRule="exact"/>
        <w:rPr>
          <w:sz w:val="20"/>
          <w:szCs w:val="20"/>
        </w:rPr>
      </w:pPr>
    </w:p>
    <w:p w14:paraId="6541617B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highlight w:val="lightGray"/>
        </w:rPr>
        <w:t>Registruotojas</w:t>
      </w:r>
      <w:proofErr w:type="spellEnd"/>
    </w:p>
    <w:p w14:paraId="18459FAD" w14:textId="77777777" w:rsidR="00E13A29" w:rsidRDefault="00E13A29" w:rsidP="00E13A29">
      <w:pPr>
        <w:spacing w:line="4" w:lineRule="exact"/>
        <w:rPr>
          <w:sz w:val="20"/>
          <w:szCs w:val="20"/>
        </w:rPr>
      </w:pPr>
    </w:p>
    <w:p w14:paraId="420B6A38" w14:textId="77777777" w:rsidR="00E13A29" w:rsidRDefault="00E13A29" w:rsidP="00E13A29">
      <w:pPr>
        <w:ind w:left="6"/>
        <w:rPr>
          <w:sz w:val="20"/>
          <w:szCs w:val="20"/>
        </w:rPr>
      </w:pPr>
      <w:r>
        <w:rPr>
          <w:rFonts w:eastAsia="Times New Roman"/>
          <w:highlight w:val="lightGray"/>
        </w:rPr>
        <w:t>Amgen Europe B.V.</w:t>
      </w:r>
    </w:p>
    <w:p w14:paraId="4AF6ACED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  <w:highlight w:val="lightGray"/>
        </w:rPr>
        <w:t>Minervum</w:t>
      </w:r>
      <w:proofErr w:type="spellEnd"/>
      <w:r>
        <w:rPr>
          <w:rFonts w:eastAsia="Times New Roman"/>
          <w:highlight w:val="lightGray"/>
        </w:rPr>
        <w:t xml:space="preserve"> 7061</w:t>
      </w:r>
    </w:p>
    <w:p w14:paraId="7454DDFB" w14:textId="77777777" w:rsidR="00E13A29" w:rsidRDefault="00E13A29" w:rsidP="00E13A29">
      <w:pPr>
        <w:ind w:left="6"/>
        <w:rPr>
          <w:sz w:val="20"/>
          <w:szCs w:val="20"/>
        </w:rPr>
      </w:pPr>
      <w:r>
        <w:rPr>
          <w:rFonts w:eastAsia="Times New Roman"/>
          <w:highlight w:val="lightGray"/>
        </w:rPr>
        <w:t>4817 ZK Breda</w:t>
      </w:r>
    </w:p>
    <w:p w14:paraId="76D4D6DF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  <w:highlight w:val="lightGray"/>
        </w:rPr>
        <w:t>Nyderlandai</w:t>
      </w:r>
      <w:proofErr w:type="spellEnd"/>
    </w:p>
    <w:p w14:paraId="5E443068" w14:textId="77777777" w:rsidR="00E13A29" w:rsidRDefault="00E13A29" w:rsidP="00E13A29">
      <w:pPr>
        <w:spacing w:line="249" w:lineRule="exact"/>
        <w:rPr>
          <w:sz w:val="20"/>
          <w:szCs w:val="20"/>
        </w:rPr>
      </w:pPr>
    </w:p>
    <w:p w14:paraId="7901E84F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highlight w:val="lightGray"/>
        </w:rPr>
        <w:t>Gamintojas</w:t>
      </w:r>
      <w:proofErr w:type="spellEnd"/>
    </w:p>
    <w:p w14:paraId="593A196E" w14:textId="77777777" w:rsidR="00E13A29" w:rsidRDefault="00E13A29" w:rsidP="00E13A29">
      <w:pPr>
        <w:spacing w:line="4" w:lineRule="exact"/>
        <w:rPr>
          <w:sz w:val="20"/>
          <w:szCs w:val="20"/>
        </w:rPr>
      </w:pPr>
    </w:p>
    <w:p w14:paraId="24EE7F2F" w14:textId="77777777" w:rsidR="00E13A29" w:rsidRDefault="00E13A29" w:rsidP="00E13A29">
      <w:pPr>
        <w:ind w:left="6"/>
        <w:rPr>
          <w:sz w:val="20"/>
          <w:szCs w:val="20"/>
        </w:rPr>
      </w:pPr>
      <w:r>
        <w:rPr>
          <w:rFonts w:eastAsia="Times New Roman"/>
          <w:highlight w:val="lightGray"/>
        </w:rPr>
        <w:t>Celgene Distribution B.V.</w:t>
      </w:r>
    </w:p>
    <w:p w14:paraId="6C91E8F7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  <w:highlight w:val="lightGray"/>
        </w:rPr>
        <w:t>Winthontlaan</w:t>
      </w:r>
      <w:proofErr w:type="spellEnd"/>
      <w:r>
        <w:rPr>
          <w:rFonts w:eastAsia="Times New Roman"/>
          <w:highlight w:val="lightGray"/>
        </w:rPr>
        <w:t xml:space="preserve"> 6 N</w:t>
      </w:r>
    </w:p>
    <w:p w14:paraId="34A34318" w14:textId="77777777" w:rsidR="00E13A29" w:rsidRDefault="00E13A29" w:rsidP="00E13A29">
      <w:pPr>
        <w:ind w:left="6"/>
        <w:rPr>
          <w:sz w:val="20"/>
          <w:szCs w:val="20"/>
        </w:rPr>
      </w:pPr>
      <w:r>
        <w:rPr>
          <w:rFonts w:eastAsia="Times New Roman"/>
          <w:highlight w:val="lightGray"/>
        </w:rPr>
        <w:t>3526 KV Utrecht</w:t>
      </w:r>
    </w:p>
    <w:p w14:paraId="7651B0D4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  <w:highlight w:val="lightGray"/>
        </w:rPr>
        <w:t>Nyderlandai</w:t>
      </w:r>
      <w:proofErr w:type="spellEnd"/>
    </w:p>
    <w:p w14:paraId="36F9AF4D" w14:textId="77777777" w:rsidR="00E13A29" w:rsidRDefault="00E13A29" w:rsidP="00E13A29">
      <w:pPr>
        <w:spacing w:line="249" w:lineRule="exact"/>
        <w:rPr>
          <w:sz w:val="20"/>
          <w:szCs w:val="20"/>
        </w:rPr>
      </w:pPr>
    </w:p>
    <w:p w14:paraId="23C6E13C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highlight w:val="lightGray"/>
        </w:rPr>
        <w:t>Gamintojas</w:t>
      </w:r>
      <w:proofErr w:type="spellEnd"/>
    </w:p>
    <w:p w14:paraId="1FBB807C" w14:textId="77777777" w:rsidR="00E13A29" w:rsidRDefault="00E13A29" w:rsidP="00E13A29">
      <w:pPr>
        <w:spacing w:line="3" w:lineRule="exact"/>
        <w:rPr>
          <w:sz w:val="20"/>
          <w:szCs w:val="20"/>
        </w:rPr>
      </w:pPr>
    </w:p>
    <w:p w14:paraId="773CC5AC" w14:textId="77777777" w:rsidR="00E13A29" w:rsidRDefault="00E13A29" w:rsidP="00E13A29">
      <w:pPr>
        <w:ind w:left="6"/>
        <w:rPr>
          <w:sz w:val="20"/>
          <w:szCs w:val="20"/>
        </w:rPr>
      </w:pPr>
      <w:r>
        <w:rPr>
          <w:rFonts w:eastAsia="Times New Roman"/>
          <w:highlight w:val="lightGray"/>
        </w:rPr>
        <w:t>Amgen NV</w:t>
      </w:r>
    </w:p>
    <w:p w14:paraId="71785343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  <w:highlight w:val="lightGray"/>
        </w:rPr>
        <w:t>Telecomlaan</w:t>
      </w:r>
      <w:proofErr w:type="spellEnd"/>
      <w:r>
        <w:rPr>
          <w:rFonts w:eastAsia="Times New Roman"/>
          <w:highlight w:val="lightGray"/>
        </w:rPr>
        <w:t xml:space="preserve"> 5-7</w:t>
      </w:r>
    </w:p>
    <w:p w14:paraId="301F343E" w14:textId="77777777" w:rsidR="00E13A29" w:rsidRDefault="00E13A29" w:rsidP="00E13A29">
      <w:pPr>
        <w:ind w:left="6"/>
        <w:rPr>
          <w:sz w:val="20"/>
          <w:szCs w:val="20"/>
        </w:rPr>
      </w:pPr>
      <w:r>
        <w:rPr>
          <w:rFonts w:eastAsia="Times New Roman"/>
          <w:highlight w:val="lightGray"/>
        </w:rPr>
        <w:t xml:space="preserve">1831 </w:t>
      </w:r>
      <w:proofErr w:type="spellStart"/>
      <w:r>
        <w:rPr>
          <w:rFonts w:eastAsia="Times New Roman"/>
          <w:highlight w:val="lightGray"/>
        </w:rPr>
        <w:t>Diegem</w:t>
      </w:r>
      <w:proofErr w:type="spellEnd"/>
    </w:p>
    <w:p w14:paraId="3823EE97" w14:textId="77777777" w:rsidR="00E13A29" w:rsidRDefault="00E13A29" w:rsidP="00E13A29">
      <w:pPr>
        <w:ind w:left="6"/>
        <w:rPr>
          <w:sz w:val="20"/>
          <w:szCs w:val="20"/>
        </w:rPr>
      </w:pPr>
      <w:proofErr w:type="spellStart"/>
      <w:r>
        <w:rPr>
          <w:rFonts w:eastAsia="Times New Roman"/>
          <w:highlight w:val="lightGray"/>
        </w:rPr>
        <w:t>Belgija</w:t>
      </w:r>
      <w:proofErr w:type="spellEnd"/>
    </w:p>
    <w:p w14:paraId="5584D5F2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64107C81" w14:textId="77777777" w:rsidR="00E13A29" w:rsidRDefault="00E13A29" w:rsidP="00E13A29">
      <w:pPr>
        <w:spacing w:line="280" w:lineRule="exact"/>
        <w:rPr>
          <w:sz w:val="20"/>
          <w:szCs w:val="20"/>
        </w:rPr>
      </w:pPr>
    </w:p>
    <w:p w14:paraId="678547AA" w14:textId="77777777" w:rsidR="00E13A29" w:rsidRDefault="00E13A29" w:rsidP="00E13A29">
      <w:pPr>
        <w:ind w:right="-45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39</w:t>
      </w:r>
    </w:p>
    <w:p w14:paraId="7F1B26B0" w14:textId="77777777" w:rsidR="00E13A29" w:rsidRDefault="00E13A29" w:rsidP="00E13A29">
      <w:pPr>
        <w:sectPr w:rsidR="00E13A29" w:rsidSect="007E4133">
          <w:pgSz w:w="11900" w:h="16840"/>
          <w:pgMar w:top="1368" w:right="1184" w:bottom="183" w:left="1080" w:header="0" w:footer="0" w:gutter="0"/>
          <w:cols w:space="720" w:equalWidth="0">
            <w:col w:w="9384"/>
          </w:cols>
        </w:sectPr>
      </w:pPr>
    </w:p>
    <w:p w14:paraId="4FA81749" w14:textId="77777777" w:rsidR="00E13A29" w:rsidRDefault="00E13A29" w:rsidP="00E13A29">
      <w:pPr>
        <w:rPr>
          <w:sz w:val="20"/>
          <w:szCs w:val="20"/>
        </w:rPr>
      </w:pPr>
      <w:bookmarkStart w:id="6" w:name="page40"/>
      <w:bookmarkEnd w:id="6"/>
      <w:proofErr w:type="spellStart"/>
      <w:r>
        <w:rPr>
          <w:rFonts w:eastAsia="Times New Roman"/>
          <w:sz w:val="21"/>
          <w:szCs w:val="21"/>
        </w:rPr>
        <w:lastRenderedPageBreak/>
        <w:t>Jeigu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apie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vaistą</w:t>
      </w:r>
      <w:proofErr w:type="spellEnd"/>
      <w:r>
        <w:rPr>
          <w:rFonts w:eastAsia="Times New Roman"/>
          <w:sz w:val="21"/>
          <w:szCs w:val="21"/>
        </w:rPr>
        <w:t xml:space="preserve"> norite </w:t>
      </w:r>
      <w:proofErr w:type="spellStart"/>
      <w:r>
        <w:rPr>
          <w:rFonts w:eastAsia="Times New Roman"/>
          <w:sz w:val="21"/>
          <w:szCs w:val="21"/>
        </w:rPr>
        <w:t>sužinoti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daugiau</w:t>
      </w:r>
      <w:proofErr w:type="spellEnd"/>
      <w:r>
        <w:rPr>
          <w:rFonts w:eastAsia="Times New Roman"/>
          <w:sz w:val="21"/>
          <w:szCs w:val="21"/>
        </w:rPr>
        <w:t xml:space="preserve">, </w:t>
      </w:r>
      <w:proofErr w:type="spellStart"/>
      <w:r>
        <w:rPr>
          <w:rFonts w:eastAsia="Times New Roman"/>
          <w:sz w:val="21"/>
          <w:szCs w:val="21"/>
        </w:rPr>
        <w:t>kreipkitės</w:t>
      </w:r>
      <w:proofErr w:type="spellEnd"/>
      <w:r>
        <w:rPr>
          <w:rFonts w:eastAsia="Times New Roman"/>
          <w:sz w:val="21"/>
          <w:szCs w:val="21"/>
        </w:rPr>
        <w:t xml:space="preserve"> į </w:t>
      </w:r>
      <w:proofErr w:type="spellStart"/>
      <w:r>
        <w:rPr>
          <w:rFonts w:eastAsia="Times New Roman"/>
          <w:sz w:val="21"/>
          <w:szCs w:val="21"/>
        </w:rPr>
        <w:t>vietinį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registruotojo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atstovą</w:t>
      </w:r>
      <w:proofErr w:type="spellEnd"/>
      <w:r>
        <w:rPr>
          <w:rFonts w:eastAsia="Times New Roman"/>
          <w:sz w:val="21"/>
          <w:szCs w:val="21"/>
        </w:rPr>
        <w:t>:</w:t>
      </w:r>
    </w:p>
    <w:p w14:paraId="7E923457" w14:textId="77777777" w:rsidR="00E13A29" w:rsidRDefault="00E13A29" w:rsidP="00E13A29">
      <w:pPr>
        <w:sectPr w:rsidR="00E13A29">
          <w:pgSz w:w="11900" w:h="16840"/>
          <w:pgMar w:top="1119" w:right="1440" w:bottom="183" w:left="1140" w:header="0" w:footer="0" w:gutter="0"/>
          <w:cols w:space="720" w:equalWidth="0">
            <w:col w:w="9324"/>
          </w:cols>
        </w:sectPr>
      </w:pPr>
    </w:p>
    <w:p w14:paraId="49EEF23A" w14:textId="77777777" w:rsidR="00E13A29" w:rsidRDefault="00E13A29" w:rsidP="00E13A29">
      <w:pPr>
        <w:spacing w:line="260" w:lineRule="exact"/>
        <w:rPr>
          <w:sz w:val="20"/>
          <w:szCs w:val="20"/>
        </w:rPr>
      </w:pPr>
    </w:p>
    <w:p w14:paraId="6ECF8863" w14:textId="77777777" w:rsidR="00E13A29" w:rsidRDefault="00E13A29" w:rsidP="00E13A29">
      <w:pPr>
        <w:ind w:left="10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België</w:t>
      </w:r>
      <w:proofErr w:type="spellEnd"/>
      <w:r>
        <w:rPr>
          <w:rFonts w:eastAsia="Times New Roman"/>
          <w:b/>
          <w:bCs/>
        </w:rPr>
        <w:t>/Belgique/</w:t>
      </w:r>
      <w:proofErr w:type="spellStart"/>
      <w:r>
        <w:rPr>
          <w:rFonts w:eastAsia="Times New Roman"/>
          <w:b/>
          <w:bCs/>
        </w:rPr>
        <w:t>Belgien</w:t>
      </w:r>
      <w:proofErr w:type="spellEnd"/>
    </w:p>
    <w:p w14:paraId="2AB03EB1" w14:textId="77777777" w:rsidR="00E13A29" w:rsidRDefault="00E13A29" w:rsidP="00E13A29">
      <w:pPr>
        <w:spacing w:line="4" w:lineRule="exact"/>
        <w:rPr>
          <w:sz w:val="20"/>
          <w:szCs w:val="20"/>
        </w:rPr>
      </w:pPr>
    </w:p>
    <w:p w14:paraId="4661E88A" w14:textId="77777777" w:rsidR="00E13A29" w:rsidRDefault="00E13A29" w:rsidP="00E13A29">
      <w:pPr>
        <w:ind w:left="100"/>
        <w:rPr>
          <w:sz w:val="20"/>
          <w:szCs w:val="20"/>
        </w:rPr>
      </w:pPr>
      <w:proofErr w:type="spellStart"/>
      <w:r>
        <w:rPr>
          <w:rFonts w:eastAsia="Times New Roman"/>
        </w:rPr>
        <w:t>s.a.</w:t>
      </w:r>
      <w:proofErr w:type="spellEnd"/>
      <w:r>
        <w:rPr>
          <w:rFonts w:eastAsia="Times New Roman"/>
        </w:rPr>
        <w:t xml:space="preserve"> Amgen </w:t>
      </w:r>
      <w:proofErr w:type="spellStart"/>
      <w:r>
        <w:rPr>
          <w:rFonts w:eastAsia="Times New Roman"/>
        </w:rPr>
        <w:t>n.v.</w:t>
      </w:r>
      <w:proofErr w:type="spellEnd"/>
    </w:p>
    <w:p w14:paraId="3522C09D" w14:textId="77777777" w:rsidR="00E13A29" w:rsidRDefault="00E13A29" w:rsidP="00E13A29">
      <w:pPr>
        <w:spacing w:line="360" w:lineRule="auto"/>
        <w:ind w:left="100" w:right="1460"/>
        <w:rPr>
          <w:sz w:val="20"/>
          <w:szCs w:val="20"/>
        </w:rPr>
      </w:pPr>
      <w:r>
        <w:rPr>
          <w:rFonts w:eastAsia="Times New Roman"/>
        </w:rPr>
        <w:t>Tel/</w:t>
      </w:r>
      <w:proofErr w:type="spellStart"/>
      <w:r>
        <w:rPr>
          <w:rFonts w:eastAsia="Times New Roman"/>
        </w:rPr>
        <w:t>Tél</w:t>
      </w:r>
      <w:proofErr w:type="spellEnd"/>
      <w:r>
        <w:rPr>
          <w:rFonts w:eastAsia="Times New Roman"/>
        </w:rPr>
        <w:t xml:space="preserve">: +32 (0)2 7752711 </w:t>
      </w:r>
      <w:proofErr w:type="spellStart"/>
      <w:r>
        <w:rPr>
          <w:rFonts w:eastAsia="Times New Roman"/>
          <w:b/>
          <w:bCs/>
        </w:rPr>
        <w:t>България</w:t>
      </w:r>
      <w:proofErr w:type="spellEnd"/>
    </w:p>
    <w:p w14:paraId="11440FA5" w14:textId="77777777" w:rsidR="00E13A29" w:rsidRDefault="00E13A29" w:rsidP="00E13A29">
      <w:pPr>
        <w:spacing w:line="1" w:lineRule="exact"/>
        <w:rPr>
          <w:sz w:val="20"/>
          <w:szCs w:val="20"/>
        </w:rPr>
      </w:pPr>
    </w:p>
    <w:p w14:paraId="7B18E0CA" w14:textId="77777777" w:rsidR="00E13A29" w:rsidRDefault="00E13A29" w:rsidP="00E13A29">
      <w:pPr>
        <w:spacing w:line="270" w:lineRule="auto"/>
        <w:ind w:left="100" w:right="1460"/>
        <w:rPr>
          <w:sz w:val="20"/>
          <w:szCs w:val="20"/>
        </w:rPr>
      </w:pPr>
      <w:proofErr w:type="spellStart"/>
      <w:r>
        <w:rPr>
          <w:rFonts w:eastAsia="Times New Roman"/>
        </w:rPr>
        <w:t>Амджен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България</w:t>
      </w:r>
      <w:proofErr w:type="spellEnd"/>
      <w:r>
        <w:rPr>
          <w:rFonts w:eastAsia="Times New Roman"/>
        </w:rPr>
        <w:t xml:space="preserve"> ЕООД </w:t>
      </w:r>
      <w:proofErr w:type="spellStart"/>
      <w:r>
        <w:rPr>
          <w:rFonts w:eastAsia="Times New Roman"/>
        </w:rPr>
        <w:t>Тел</w:t>
      </w:r>
      <w:proofErr w:type="spellEnd"/>
      <w:r>
        <w:rPr>
          <w:rFonts w:eastAsia="Times New Roman"/>
        </w:rPr>
        <w:t>.: +359 (0)2 424 7440</w:t>
      </w:r>
    </w:p>
    <w:p w14:paraId="047499E6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0840D16B" w14:textId="77777777" w:rsidR="00E13A29" w:rsidRDefault="00E13A29" w:rsidP="00E13A29">
      <w:pPr>
        <w:spacing w:line="238" w:lineRule="exact"/>
        <w:rPr>
          <w:sz w:val="20"/>
          <w:szCs w:val="20"/>
        </w:rPr>
      </w:pPr>
    </w:p>
    <w:p w14:paraId="39AEA693" w14:textId="77777777" w:rsidR="00E13A29" w:rsidRDefault="00E13A29" w:rsidP="00E13A29">
      <w:pPr>
        <w:ind w:left="10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Česká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republika</w:t>
      </w:r>
      <w:proofErr w:type="spellEnd"/>
    </w:p>
    <w:p w14:paraId="7C3931C9" w14:textId="77777777" w:rsidR="00E13A29" w:rsidRDefault="00E13A29" w:rsidP="00E13A29">
      <w:pPr>
        <w:spacing w:line="3" w:lineRule="exact"/>
        <w:rPr>
          <w:sz w:val="20"/>
          <w:szCs w:val="20"/>
        </w:rPr>
      </w:pPr>
    </w:p>
    <w:p w14:paraId="3937EACD" w14:textId="77777777" w:rsidR="00E13A29" w:rsidRDefault="00E13A29" w:rsidP="00E13A29">
      <w:pPr>
        <w:ind w:left="100"/>
        <w:rPr>
          <w:sz w:val="20"/>
          <w:szCs w:val="20"/>
        </w:rPr>
      </w:pPr>
      <w:r>
        <w:rPr>
          <w:rFonts w:eastAsia="Times New Roman"/>
        </w:rPr>
        <w:t xml:space="preserve">Amgen </w:t>
      </w:r>
      <w:proofErr w:type="spellStart"/>
      <w:r>
        <w:rPr>
          <w:rFonts w:eastAsia="Times New Roman"/>
        </w:rPr>
        <w:t>s.r.o.</w:t>
      </w:r>
      <w:proofErr w:type="spellEnd"/>
    </w:p>
    <w:p w14:paraId="31377AD6" w14:textId="77777777" w:rsidR="00E13A29" w:rsidRDefault="00E13A29" w:rsidP="00E13A29">
      <w:pPr>
        <w:ind w:left="100"/>
        <w:rPr>
          <w:sz w:val="20"/>
          <w:szCs w:val="20"/>
        </w:rPr>
      </w:pPr>
      <w:r>
        <w:rPr>
          <w:rFonts w:eastAsia="Times New Roman"/>
        </w:rPr>
        <w:t>Tel: +420 221 773 500</w:t>
      </w:r>
    </w:p>
    <w:p w14:paraId="38703EB5" w14:textId="77777777" w:rsidR="00E13A29" w:rsidRDefault="00E13A29" w:rsidP="00E13A29">
      <w:pPr>
        <w:spacing w:line="206" w:lineRule="exact"/>
        <w:rPr>
          <w:sz w:val="20"/>
          <w:szCs w:val="20"/>
        </w:rPr>
      </w:pPr>
    </w:p>
    <w:p w14:paraId="45226CDC" w14:textId="77777777" w:rsidR="00E13A29" w:rsidRDefault="00E13A29" w:rsidP="00E13A29">
      <w:pPr>
        <w:ind w:left="10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Danmark</w:t>
      </w:r>
      <w:proofErr w:type="spellEnd"/>
    </w:p>
    <w:p w14:paraId="54B71C39" w14:textId="77777777" w:rsidR="00E13A29" w:rsidRDefault="00E13A29" w:rsidP="00E13A29">
      <w:pPr>
        <w:spacing w:line="4" w:lineRule="exact"/>
        <w:rPr>
          <w:sz w:val="20"/>
          <w:szCs w:val="20"/>
        </w:rPr>
      </w:pPr>
    </w:p>
    <w:p w14:paraId="0FC28A8E" w14:textId="77777777" w:rsidR="00E13A29" w:rsidRDefault="00E13A29" w:rsidP="00E13A29">
      <w:pPr>
        <w:spacing w:line="271" w:lineRule="auto"/>
        <w:ind w:left="100" w:right="580"/>
        <w:rPr>
          <w:sz w:val="20"/>
          <w:szCs w:val="20"/>
        </w:rPr>
      </w:pPr>
      <w:r>
        <w:rPr>
          <w:rFonts w:eastAsia="Times New Roman"/>
        </w:rPr>
        <w:t xml:space="preserve">Amgen, filial </w:t>
      </w:r>
      <w:proofErr w:type="spellStart"/>
      <w:r>
        <w:rPr>
          <w:rFonts w:eastAsia="Times New Roman"/>
        </w:rPr>
        <w:t>af</w:t>
      </w:r>
      <w:proofErr w:type="spellEnd"/>
      <w:r>
        <w:rPr>
          <w:rFonts w:eastAsia="Times New Roman"/>
        </w:rPr>
        <w:t xml:space="preserve"> Amgen AB, Sverige </w:t>
      </w:r>
      <w:proofErr w:type="spellStart"/>
      <w:r>
        <w:rPr>
          <w:rFonts w:eastAsia="Times New Roman"/>
        </w:rPr>
        <w:t>Tlf</w:t>
      </w:r>
      <w:proofErr w:type="spellEnd"/>
      <w:r>
        <w:rPr>
          <w:rFonts w:eastAsia="Times New Roman"/>
        </w:rPr>
        <w:t>: +45 39617500</w:t>
      </w:r>
    </w:p>
    <w:p w14:paraId="354A26E1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78C24F8A" w14:textId="77777777" w:rsidR="00E13A29" w:rsidRDefault="00E13A29" w:rsidP="00E13A29">
      <w:pPr>
        <w:spacing w:line="236" w:lineRule="exact"/>
        <w:rPr>
          <w:sz w:val="20"/>
          <w:szCs w:val="20"/>
        </w:rPr>
      </w:pPr>
    </w:p>
    <w:p w14:paraId="51725E1D" w14:textId="77777777" w:rsidR="00E13A29" w:rsidRDefault="00E13A29" w:rsidP="00E13A29">
      <w:pPr>
        <w:ind w:left="100"/>
        <w:rPr>
          <w:sz w:val="20"/>
          <w:szCs w:val="20"/>
        </w:rPr>
      </w:pPr>
      <w:r>
        <w:rPr>
          <w:rFonts w:eastAsia="Times New Roman"/>
          <w:b/>
          <w:bCs/>
        </w:rPr>
        <w:t>Deutschland</w:t>
      </w:r>
    </w:p>
    <w:p w14:paraId="2B91577A" w14:textId="77777777" w:rsidR="00E13A29" w:rsidRDefault="00E13A29" w:rsidP="00E13A29">
      <w:pPr>
        <w:spacing w:line="4" w:lineRule="exact"/>
        <w:rPr>
          <w:sz w:val="20"/>
          <w:szCs w:val="20"/>
        </w:rPr>
      </w:pPr>
    </w:p>
    <w:p w14:paraId="01D5AE1A" w14:textId="77777777" w:rsidR="00E13A29" w:rsidRDefault="00E13A29" w:rsidP="00E13A29">
      <w:pPr>
        <w:ind w:left="100"/>
        <w:rPr>
          <w:sz w:val="20"/>
          <w:szCs w:val="20"/>
        </w:rPr>
      </w:pPr>
      <w:r>
        <w:rPr>
          <w:rFonts w:eastAsia="Times New Roman"/>
        </w:rPr>
        <w:t>AMGEN GmbH</w:t>
      </w:r>
    </w:p>
    <w:p w14:paraId="7D84D98F" w14:textId="77777777" w:rsidR="00E13A29" w:rsidRDefault="00E13A29" w:rsidP="00E13A29">
      <w:pPr>
        <w:ind w:left="100"/>
        <w:rPr>
          <w:sz w:val="20"/>
          <w:szCs w:val="20"/>
        </w:rPr>
      </w:pPr>
      <w:r>
        <w:rPr>
          <w:rFonts w:eastAsia="Times New Roman"/>
        </w:rPr>
        <w:t>Tel.: +49 89 1490960</w:t>
      </w:r>
    </w:p>
    <w:p w14:paraId="6C9B330B" w14:textId="77777777" w:rsidR="00E13A29" w:rsidRDefault="00E13A29" w:rsidP="00E13A29">
      <w:pPr>
        <w:spacing w:line="249" w:lineRule="exact"/>
        <w:rPr>
          <w:sz w:val="20"/>
          <w:szCs w:val="20"/>
        </w:rPr>
      </w:pPr>
    </w:p>
    <w:p w14:paraId="190213BA" w14:textId="77777777" w:rsidR="00E13A29" w:rsidRDefault="00E13A29" w:rsidP="00E13A29">
      <w:pPr>
        <w:ind w:left="10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Eesti</w:t>
      </w:r>
      <w:proofErr w:type="spellEnd"/>
    </w:p>
    <w:p w14:paraId="7FBB7B3E" w14:textId="77777777" w:rsidR="00E13A29" w:rsidRDefault="00E13A29" w:rsidP="00E13A29">
      <w:pPr>
        <w:spacing w:line="3" w:lineRule="exact"/>
        <w:rPr>
          <w:sz w:val="20"/>
          <w:szCs w:val="20"/>
        </w:rPr>
      </w:pPr>
    </w:p>
    <w:p w14:paraId="5673EDF6" w14:textId="77777777" w:rsidR="00E13A29" w:rsidRDefault="00E13A29" w:rsidP="00E13A29">
      <w:pPr>
        <w:spacing w:line="271" w:lineRule="auto"/>
        <w:ind w:left="100" w:right="240"/>
        <w:rPr>
          <w:sz w:val="20"/>
          <w:szCs w:val="20"/>
        </w:rPr>
      </w:pPr>
      <w:r>
        <w:rPr>
          <w:rFonts w:eastAsia="Times New Roman"/>
        </w:rPr>
        <w:t xml:space="preserve">Amgen Switzerland AG Vilniaus </w:t>
      </w:r>
      <w:proofErr w:type="spellStart"/>
      <w:r>
        <w:rPr>
          <w:rFonts w:eastAsia="Times New Roman"/>
        </w:rPr>
        <w:t>filialas</w:t>
      </w:r>
      <w:proofErr w:type="spellEnd"/>
      <w:r>
        <w:rPr>
          <w:rFonts w:eastAsia="Times New Roman"/>
        </w:rPr>
        <w:t xml:space="preserve"> Tel: +372 586 09553</w:t>
      </w:r>
    </w:p>
    <w:p w14:paraId="387CDAB2" w14:textId="77777777" w:rsidR="00E13A29" w:rsidRDefault="00E13A29" w:rsidP="00E13A29">
      <w:pPr>
        <w:spacing w:line="184" w:lineRule="exact"/>
        <w:rPr>
          <w:sz w:val="20"/>
          <w:szCs w:val="20"/>
        </w:rPr>
      </w:pPr>
    </w:p>
    <w:p w14:paraId="28DEC0D2" w14:textId="77777777" w:rsidR="00E13A29" w:rsidRDefault="00E13A29" w:rsidP="00E13A29">
      <w:pPr>
        <w:ind w:left="10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Ελλάδ</w:t>
      </w:r>
      <w:proofErr w:type="spellEnd"/>
      <w:r>
        <w:rPr>
          <w:rFonts w:eastAsia="Times New Roman"/>
          <w:b/>
          <w:bCs/>
        </w:rPr>
        <w:t>α</w:t>
      </w:r>
    </w:p>
    <w:p w14:paraId="0498102F" w14:textId="77777777" w:rsidR="00E13A29" w:rsidRDefault="00E13A29" w:rsidP="00E13A29">
      <w:pPr>
        <w:spacing w:line="4" w:lineRule="exact"/>
        <w:rPr>
          <w:sz w:val="20"/>
          <w:szCs w:val="20"/>
        </w:rPr>
      </w:pPr>
    </w:p>
    <w:p w14:paraId="58B19105" w14:textId="77777777" w:rsidR="00E13A29" w:rsidRDefault="00E13A29" w:rsidP="00E13A29">
      <w:pPr>
        <w:ind w:left="100"/>
        <w:rPr>
          <w:sz w:val="20"/>
          <w:szCs w:val="20"/>
        </w:rPr>
      </w:pPr>
      <w:r>
        <w:rPr>
          <w:rFonts w:eastAsia="Times New Roman"/>
        </w:rPr>
        <w:t>Genesis Pharma SA</w:t>
      </w:r>
    </w:p>
    <w:p w14:paraId="2F1564A1" w14:textId="77777777" w:rsidR="00E13A29" w:rsidRDefault="00E13A29" w:rsidP="00E13A29">
      <w:pPr>
        <w:ind w:left="100"/>
        <w:rPr>
          <w:sz w:val="20"/>
          <w:szCs w:val="20"/>
        </w:rPr>
      </w:pPr>
      <w:proofErr w:type="spellStart"/>
      <w:r>
        <w:rPr>
          <w:rFonts w:eastAsia="Times New Roman"/>
        </w:rPr>
        <w:t>Τηλ</w:t>
      </w:r>
      <w:proofErr w:type="spellEnd"/>
      <w:r>
        <w:rPr>
          <w:rFonts w:eastAsia="Times New Roman"/>
        </w:rPr>
        <w:t>: +30 210 8771500</w:t>
      </w:r>
    </w:p>
    <w:p w14:paraId="62C238F9" w14:textId="77777777" w:rsidR="00E13A29" w:rsidRDefault="00E13A29" w:rsidP="00E13A29">
      <w:pPr>
        <w:spacing w:line="248" w:lineRule="exact"/>
        <w:rPr>
          <w:sz w:val="20"/>
          <w:szCs w:val="20"/>
        </w:rPr>
      </w:pPr>
    </w:p>
    <w:p w14:paraId="5010830B" w14:textId="77777777" w:rsidR="00E13A29" w:rsidRDefault="00E13A29" w:rsidP="00E13A29">
      <w:pPr>
        <w:ind w:left="10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España</w:t>
      </w:r>
      <w:proofErr w:type="spellEnd"/>
    </w:p>
    <w:p w14:paraId="24802DFD" w14:textId="77777777" w:rsidR="00E13A29" w:rsidRDefault="00E13A29" w:rsidP="00E13A29">
      <w:pPr>
        <w:spacing w:line="4" w:lineRule="exact"/>
        <w:rPr>
          <w:sz w:val="20"/>
          <w:szCs w:val="20"/>
        </w:rPr>
      </w:pPr>
    </w:p>
    <w:p w14:paraId="64711973" w14:textId="77777777" w:rsidR="00E13A29" w:rsidRDefault="00E13A29" w:rsidP="00E13A29">
      <w:pPr>
        <w:ind w:left="100"/>
        <w:rPr>
          <w:sz w:val="20"/>
          <w:szCs w:val="20"/>
        </w:rPr>
      </w:pPr>
      <w:r>
        <w:rPr>
          <w:rFonts w:eastAsia="Times New Roman"/>
        </w:rPr>
        <w:t>Amgen S.A.</w:t>
      </w:r>
    </w:p>
    <w:p w14:paraId="61EA491C" w14:textId="77777777" w:rsidR="00E13A29" w:rsidRDefault="00E13A29" w:rsidP="00E13A29">
      <w:pPr>
        <w:ind w:left="100"/>
        <w:rPr>
          <w:sz w:val="20"/>
          <w:szCs w:val="20"/>
        </w:rPr>
      </w:pPr>
      <w:r>
        <w:rPr>
          <w:rFonts w:eastAsia="Times New Roman"/>
        </w:rPr>
        <w:t>Tel: +34 93 600 18 60</w:t>
      </w:r>
    </w:p>
    <w:p w14:paraId="7403AC6F" w14:textId="77777777" w:rsidR="00E13A29" w:rsidRDefault="00E13A29" w:rsidP="00E13A29">
      <w:pPr>
        <w:spacing w:line="248" w:lineRule="exact"/>
        <w:rPr>
          <w:sz w:val="20"/>
          <w:szCs w:val="20"/>
        </w:rPr>
      </w:pPr>
    </w:p>
    <w:p w14:paraId="4BFB026E" w14:textId="77777777" w:rsidR="00E13A29" w:rsidRDefault="00E13A29" w:rsidP="00E13A29">
      <w:pPr>
        <w:ind w:left="100"/>
        <w:rPr>
          <w:sz w:val="20"/>
          <w:szCs w:val="20"/>
        </w:rPr>
      </w:pPr>
      <w:r>
        <w:rPr>
          <w:rFonts w:eastAsia="Times New Roman"/>
          <w:b/>
          <w:bCs/>
        </w:rPr>
        <w:t>France</w:t>
      </w:r>
    </w:p>
    <w:p w14:paraId="77990335" w14:textId="77777777" w:rsidR="00E13A29" w:rsidRDefault="00E13A29" w:rsidP="00E13A29">
      <w:pPr>
        <w:spacing w:line="4" w:lineRule="exact"/>
        <w:rPr>
          <w:sz w:val="20"/>
          <w:szCs w:val="20"/>
        </w:rPr>
      </w:pPr>
    </w:p>
    <w:p w14:paraId="441D12DF" w14:textId="77777777" w:rsidR="00E13A29" w:rsidRDefault="00E13A29" w:rsidP="00E13A29">
      <w:pPr>
        <w:ind w:left="100"/>
        <w:rPr>
          <w:sz w:val="20"/>
          <w:szCs w:val="20"/>
        </w:rPr>
      </w:pPr>
      <w:r>
        <w:rPr>
          <w:rFonts w:eastAsia="Times New Roman"/>
        </w:rPr>
        <w:t>Amgen S.A.S.</w:t>
      </w:r>
    </w:p>
    <w:p w14:paraId="2A69D05A" w14:textId="77777777" w:rsidR="00E13A29" w:rsidRDefault="00E13A29" w:rsidP="00E13A29">
      <w:pPr>
        <w:ind w:left="100"/>
        <w:rPr>
          <w:sz w:val="20"/>
          <w:szCs w:val="20"/>
        </w:rPr>
      </w:pPr>
      <w:proofErr w:type="spellStart"/>
      <w:r>
        <w:rPr>
          <w:rFonts w:eastAsia="Times New Roman"/>
        </w:rPr>
        <w:t>Tél</w:t>
      </w:r>
      <w:proofErr w:type="spellEnd"/>
      <w:r>
        <w:rPr>
          <w:rFonts w:eastAsia="Times New Roman"/>
        </w:rPr>
        <w:t>: +33 (0)9 69 363 363</w:t>
      </w:r>
    </w:p>
    <w:p w14:paraId="386AD048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74C52DD9" w14:textId="77777777" w:rsidR="00E13A29" w:rsidRDefault="00E13A29" w:rsidP="00E13A29">
      <w:pPr>
        <w:spacing w:line="301" w:lineRule="exact"/>
        <w:rPr>
          <w:sz w:val="20"/>
          <w:szCs w:val="20"/>
        </w:rPr>
      </w:pPr>
    </w:p>
    <w:p w14:paraId="4B7CD9EA" w14:textId="77777777" w:rsidR="00E13A29" w:rsidRDefault="00E13A29" w:rsidP="00E13A29">
      <w:pPr>
        <w:ind w:left="100"/>
        <w:rPr>
          <w:sz w:val="20"/>
          <w:szCs w:val="20"/>
        </w:rPr>
      </w:pPr>
      <w:r>
        <w:rPr>
          <w:rFonts w:eastAsia="Times New Roman"/>
          <w:b/>
          <w:bCs/>
        </w:rPr>
        <w:t>Hrvatska</w:t>
      </w:r>
    </w:p>
    <w:p w14:paraId="0FC0B80F" w14:textId="77777777" w:rsidR="00E13A29" w:rsidRDefault="00E13A29" w:rsidP="00E13A29">
      <w:pPr>
        <w:spacing w:line="4" w:lineRule="exact"/>
        <w:rPr>
          <w:sz w:val="20"/>
          <w:szCs w:val="20"/>
        </w:rPr>
      </w:pPr>
    </w:p>
    <w:p w14:paraId="6F61C6F4" w14:textId="77777777" w:rsidR="00E13A29" w:rsidRDefault="00E13A29" w:rsidP="00E13A29">
      <w:pPr>
        <w:ind w:left="100"/>
        <w:rPr>
          <w:sz w:val="20"/>
          <w:szCs w:val="20"/>
        </w:rPr>
      </w:pPr>
      <w:r>
        <w:rPr>
          <w:rFonts w:eastAsia="Times New Roman"/>
        </w:rPr>
        <w:t>Amgen d.o.o.</w:t>
      </w:r>
    </w:p>
    <w:p w14:paraId="151A5EA0" w14:textId="77777777" w:rsidR="00E13A29" w:rsidRDefault="00E13A29" w:rsidP="00E13A29">
      <w:pPr>
        <w:ind w:left="100"/>
        <w:rPr>
          <w:sz w:val="20"/>
          <w:szCs w:val="20"/>
        </w:rPr>
      </w:pPr>
      <w:r>
        <w:rPr>
          <w:rFonts w:eastAsia="Times New Roman"/>
        </w:rPr>
        <w:t>Tel: +385 (0)1 562 57 20</w:t>
      </w:r>
    </w:p>
    <w:p w14:paraId="2FACEDD4" w14:textId="77777777" w:rsidR="00E13A29" w:rsidRDefault="00E13A29" w:rsidP="00E13A29">
      <w:pPr>
        <w:spacing w:line="249" w:lineRule="exact"/>
        <w:rPr>
          <w:sz w:val="20"/>
          <w:szCs w:val="20"/>
        </w:rPr>
      </w:pPr>
    </w:p>
    <w:p w14:paraId="182C9F5B" w14:textId="77777777" w:rsidR="00E13A29" w:rsidRDefault="00E13A29" w:rsidP="00E13A29">
      <w:pPr>
        <w:ind w:left="100"/>
        <w:rPr>
          <w:sz w:val="20"/>
          <w:szCs w:val="20"/>
        </w:rPr>
      </w:pPr>
      <w:r>
        <w:rPr>
          <w:rFonts w:eastAsia="Times New Roman"/>
          <w:b/>
          <w:bCs/>
        </w:rPr>
        <w:t>Ireland</w:t>
      </w:r>
    </w:p>
    <w:p w14:paraId="02EA2886" w14:textId="77777777" w:rsidR="00E13A29" w:rsidRDefault="00E13A29" w:rsidP="00E13A29">
      <w:pPr>
        <w:spacing w:line="3" w:lineRule="exact"/>
        <w:rPr>
          <w:sz w:val="20"/>
          <w:szCs w:val="20"/>
        </w:rPr>
      </w:pPr>
    </w:p>
    <w:p w14:paraId="6C215493" w14:textId="77777777" w:rsidR="00E13A29" w:rsidRDefault="00E13A29" w:rsidP="00E13A29">
      <w:pPr>
        <w:ind w:left="100"/>
        <w:rPr>
          <w:sz w:val="20"/>
          <w:szCs w:val="20"/>
        </w:rPr>
      </w:pPr>
      <w:r>
        <w:rPr>
          <w:rFonts w:eastAsia="Times New Roman"/>
        </w:rPr>
        <w:t>Amgen Ireland Limited</w:t>
      </w:r>
    </w:p>
    <w:p w14:paraId="55B67893" w14:textId="77777777" w:rsidR="00E13A29" w:rsidRDefault="00E13A29" w:rsidP="00E13A29">
      <w:pPr>
        <w:ind w:left="100"/>
        <w:rPr>
          <w:sz w:val="20"/>
          <w:szCs w:val="20"/>
        </w:rPr>
      </w:pPr>
      <w:r>
        <w:rPr>
          <w:rFonts w:eastAsia="Times New Roman"/>
        </w:rPr>
        <w:t>Tel: +353 1 8527400</w:t>
      </w:r>
    </w:p>
    <w:p w14:paraId="543C82D5" w14:textId="77777777" w:rsidR="00E13A29" w:rsidRDefault="00E13A29" w:rsidP="00E13A29">
      <w:pPr>
        <w:spacing w:line="249" w:lineRule="exact"/>
        <w:rPr>
          <w:sz w:val="20"/>
          <w:szCs w:val="20"/>
        </w:rPr>
      </w:pPr>
    </w:p>
    <w:p w14:paraId="307400A5" w14:textId="77777777" w:rsidR="00E13A29" w:rsidRDefault="00E13A29" w:rsidP="00E13A29">
      <w:pPr>
        <w:ind w:left="10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Ísland</w:t>
      </w:r>
      <w:proofErr w:type="spellEnd"/>
    </w:p>
    <w:p w14:paraId="6D49768E" w14:textId="77777777" w:rsidR="00E13A29" w:rsidRDefault="00E13A29" w:rsidP="00E13A29">
      <w:pPr>
        <w:spacing w:line="4" w:lineRule="exact"/>
        <w:rPr>
          <w:sz w:val="20"/>
          <w:szCs w:val="20"/>
        </w:rPr>
      </w:pPr>
    </w:p>
    <w:p w14:paraId="365623C4" w14:textId="77777777" w:rsidR="00E13A29" w:rsidRDefault="00E13A29" w:rsidP="00E13A29">
      <w:pPr>
        <w:ind w:left="100"/>
        <w:rPr>
          <w:sz w:val="20"/>
          <w:szCs w:val="20"/>
        </w:rPr>
      </w:pPr>
      <w:proofErr w:type="spellStart"/>
      <w:r>
        <w:rPr>
          <w:rFonts w:eastAsia="Times New Roman"/>
        </w:rPr>
        <w:t>Vistor</w:t>
      </w:r>
      <w:proofErr w:type="spellEnd"/>
      <w:r>
        <w:rPr>
          <w:rFonts w:eastAsia="Times New Roman"/>
        </w:rPr>
        <w:t xml:space="preserve"> hf.</w:t>
      </w:r>
    </w:p>
    <w:p w14:paraId="21A6EB8C" w14:textId="77777777" w:rsidR="00E13A29" w:rsidRDefault="00E13A29" w:rsidP="00E13A29">
      <w:pPr>
        <w:ind w:left="100"/>
        <w:rPr>
          <w:sz w:val="20"/>
          <w:szCs w:val="20"/>
        </w:rPr>
      </w:pPr>
      <w:proofErr w:type="spellStart"/>
      <w:r>
        <w:rPr>
          <w:rFonts w:eastAsia="Times New Roman"/>
        </w:rPr>
        <w:t>Sími</w:t>
      </w:r>
      <w:proofErr w:type="spellEnd"/>
      <w:r>
        <w:rPr>
          <w:rFonts w:eastAsia="Times New Roman"/>
        </w:rPr>
        <w:t>: +354 535 7000</w:t>
      </w:r>
    </w:p>
    <w:p w14:paraId="1BA72F6E" w14:textId="77777777" w:rsidR="00E13A29" w:rsidRDefault="00E13A29" w:rsidP="00E13A2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7D35311" w14:textId="77777777" w:rsidR="00E13A29" w:rsidRDefault="00E13A29" w:rsidP="00E13A29">
      <w:pPr>
        <w:spacing w:line="240" w:lineRule="exact"/>
        <w:rPr>
          <w:sz w:val="20"/>
          <w:szCs w:val="20"/>
        </w:rPr>
      </w:pPr>
    </w:p>
    <w:p w14:paraId="0126B7A7" w14:textId="77777777" w:rsidR="00E13A29" w:rsidRDefault="00E13A29" w:rsidP="00E13A29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Lietuva</w:t>
      </w:r>
      <w:proofErr w:type="spellEnd"/>
    </w:p>
    <w:p w14:paraId="45603A8A" w14:textId="77777777" w:rsidR="00E13A29" w:rsidRDefault="00E13A29" w:rsidP="00E13A29">
      <w:pPr>
        <w:spacing w:line="4" w:lineRule="exact"/>
        <w:rPr>
          <w:sz w:val="20"/>
          <w:szCs w:val="20"/>
        </w:rPr>
      </w:pPr>
    </w:p>
    <w:p w14:paraId="17B294CE" w14:textId="77777777" w:rsidR="00E13A29" w:rsidRDefault="00E13A29" w:rsidP="00E13A29">
      <w:pPr>
        <w:spacing w:line="271" w:lineRule="auto"/>
        <w:ind w:right="1104"/>
        <w:rPr>
          <w:sz w:val="20"/>
          <w:szCs w:val="20"/>
        </w:rPr>
      </w:pPr>
      <w:r>
        <w:rPr>
          <w:rFonts w:eastAsia="Times New Roman"/>
        </w:rPr>
        <w:t xml:space="preserve">Amgen Switzerland AG Vilniaus </w:t>
      </w:r>
      <w:proofErr w:type="spellStart"/>
      <w:r>
        <w:rPr>
          <w:rFonts w:eastAsia="Times New Roman"/>
        </w:rPr>
        <w:t>filialas</w:t>
      </w:r>
      <w:proofErr w:type="spellEnd"/>
      <w:r>
        <w:rPr>
          <w:rFonts w:eastAsia="Times New Roman"/>
        </w:rPr>
        <w:t xml:space="preserve"> Tel: +370 5 219 7474</w:t>
      </w:r>
    </w:p>
    <w:p w14:paraId="39036B84" w14:textId="77777777" w:rsidR="00E13A29" w:rsidRDefault="00E13A29" w:rsidP="00E13A29">
      <w:pPr>
        <w:spacing w:line="184" w:lineRule="exact"/>
        <w:rPr>
          <w:sz w:val="20"/>
          <w:szCs w:val="20"/>
        </w:rPr>
      </w:pPr>
    </w:p>
    <w:p w14:paraId="53408822" w14:textId="77777777" w:rsidR="00E13A29" w:rsidRDefault="00E13A29" w:rsidP="00E13A29">
      <w:pPr>
        <w:rPr>
          <w:sz w:val="20"/>
          <w:szCs w:val="20"/>
        </w:rPr>
      </w:pPr>
      <w:r>
        <w:rPr>
          <w:rFonts w:eastAsia="Times New Roman"/>
          <w:b/>
          <w:bCs/>
        </w:rPr>
        <w:t>Luxembourg/Luxemburg</w:t>
      </w:r>
    </w:p>
    <w:p w14:paraId="6DB370BE" w14:textId="77777777" w:rsidR="00E13A29" w:rsidRDefault="00E13A29" w:rsidP="00E13A29">
      <w:pPr>
        <w:spacing w:line="3" w:lineRule="exact"/>
        <w:rPr>
          <w:sz w:val="20"/>
          <w:szCs w:val="20"/>
        </w:rPr>
      </w:pPr>
    </w:p>
    <w:p w14:paraId="17F9148C" w14:textId="77777777" w:rsidR="00E13A29" w:rsidRDefault="00E13A29" w:rsidP="00E13A29">
      <w:pPr>
        <w:rPr>
          <w:sz w:val="20"/>
          <w:szCs w:val="20"/>
        </w:rPr>
      </w:pPr>
      <w:proofErr w:type="spellStart"/>
      <w:r>
        <w:rPr>
          <w:rFonts w:eastAsia="Times New Roman"/>
        </w:rPr>
        <w:t>s.a.</w:t>
      </w:r>
      <w:proofErr w:type="spellEnd"/>
      <w:r>
        <w:rPr>
          <w:rFonts w:eastAsia="Times New Roman"/>
        </w:rPr>
        <w:t xml:space="preserve"> Amgen</w:t>
      </w:r>
    </w:p>
    <w:p w14:paraId="49960B83" w14:textId="77777777" w:rsidR="00E13A29" w:rsidRDefault="00E13A29" w:rsidP="00E13A29">
      <w:pPr>
        <w:rPr>
          <w:sz w:val="20"/>
          <w:szCs w:val="20"/>
        </w:rPr>
      </w:pPr>
      <w:r>
        <w:rPr>
          <w:rFonts w:eastAsia="Times New Roman"/>
        </w:rPr>
        <w:t>Belgique/</w:t>
      </w:r>
      <w:proofErr w:type="spellStart"/>
      <w:r>
        <w:rPr>
          <w:rFonts w:eastAsia="Times New Roman"/>
        </w:rPr>
        <w:t>Belgien</w:t>
      </w:r>
      <w:proofErr w:type="spellEnd"/>
    </w:p>
    <w:p w14:paraId="1C447377" w14:textId="77777777" w:rsidR="00E13A29" w:rsidRDefault="00E13A29" w:rsidP="00E13A29">
      <w:pPr>
        <w:rPr>
          <w:sz w:val="20"/>
          <w:szCs w:val="20"/>
        </w:rPr>
      </w:pPr>
      <w:r>
        <w:rPr>
          <w:rFonts w:eastAsia="Times New Roman"/>
        </w:rPr>
        <w:t>Tel/</w:t>
      </w:r>
      <w:proofErr w:type="spellStart"/>
      <w:r>
        <w:rPr>
          <w:rFonts w:eastAsia="Times New Roman"/>
        </w:rPr>
        <w:t>Tél</w:t>
      </w:r>
      <w:proofErr w:type="spellEnd"/>
      <w:r>
        <w:rPr>
          <w:rFonts w:eastAsia="Times New Roman"/>
        </w:rPr>
        <w:t>: +32 (0)2 7752711</w:t>
      </w:r>
    </w:p>
    <w:p w14:paraId="090E4BAA" w14:textId="77777777" w:rsidR="00E13A29" w:rsidRDefault="00E13A29" w:rsidP="00E13A29">
      <w:pPr>
        <w:spacing w:line="249" w:lineRule="exact"/>
        <w:rPr>
          <w:sz w:val="20"/>
          <w:szCs w:val="20"/>
        </w:rPr>
      </w:pPr>
    </w:p>
    <w:p w14:paraId="04796B6A" w14:textId="77777777" w:rsidR="00E13A29" w:rsidRDefault="00E13A29" w:rsidP="00E13A29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Magyarország</w:t>
      </w:r>
      <w:proofErr w:type="spellEnd"/>
    </w:p>
    <w:p w14:paraId="411A6CE4" w14:textId="77777777" w:rsidR="00E13A29" w:rsidRDefault="00E13A29" w:rsidP="00E13A29">
      <w:pPr>
        <w:spacing w:line="3" w:lineRule="exact"/>
        <w:rPr>
          <w:sz w:val="20"/>
          <w:szCs w:val="20"/>
        </w:rPr>
      </w:pPr>
    </w:p>
    <w:p w14:paraId="2DD04730" w14:textId="77777777" w:rsidR="00E13A29" w:rsidRDefault="00E13A29" w:rsidP="00E13A29">
      <w:pPr>
        <w:rPr>
          <w:sz w:val="20"/>
          <w:szCs w:val="20"/>
        </w:rPr>
      </w:pPr>
      <w:r>
        <w:rPr>
          <w:rFonts w:eastAsia="Times New Roman"/>
        </w:rPr>
        <w:t xml:space="preserve">Amgen </w:t>
      </w:r>
      <w:proofErr w:type="spellStart"/>
      <w:r>
        <w:rPr>
          <w:rFonts w:eastAsia="Times New Roman"/>
        </w:rPr>
        <w:t>Kft</w:t>
      </w:r>
      <w:proofErr w:type="spellEnd"/>
      <w:r>
        <w:rPr>
          <w:rFonts w:eastAsia="Times New Roman"/>
        </w:rPr>
        <w:t>.</w:t>
      </w:r>
    </w:p>
    <w:p w14:paraId="2A47C68B" w14:textId="77777777" w:rsidR="00E13A29" w:rsidRDefault="00E13A29" w:rsidP="00E13A29">
      <w:pPr>
        <w:rPr>
          <w:sz w:val="20"/>
          <w:szCs w:val="20"/>
        </w:rPr>
      </w:pPr>
      <w:r>
        <w:rPr>
          <w:rFonts w:eastAsia="Times New Roman"/>
        </w:rPr>
        <w:t>Tel.: +36 1 35 44 700</w:t>
      </w:r>
    </w:p>
    <w:p w14:paraId="1E988EA0" w14:textId="77777777" w:rsidR="00E13A29" w:rsidRDefault="00E13A29" w:rsidP="00E13A29">
      <w:pPr>
        <w:spacing w:line="206" w:lineRule="exact"/>
        <w:rPr>
          <w:sz w:val="20"/>
          <w:szCs w:val="20"/>
        </w:rPr>
      </w:pPr>
    </w:p>
    <w:p w14:paraId="5DA45894" w14:textId="77777777" w:rsidR="00E13A29" w:rsidRDefault="00E13A29" w:rsidP="00E13A29">
      <w:pPr>
        <w:rPr>
          <w:sz w:val="20"/>
          <w:szCs w:val="20"/>
        </w:rPr>
      </w:pPr>
      <w:r>
        <w:rPr>
          <w:rFonts w:eastAsia="Times New Roman"/>
          <w:b/>
          <w:bCs/>
        </w:rPr>
        <w:t>Malta</w:t>
      </w:r>
    </w:p>
    <w:p w14:paraId="04E71869" w14:textId="77777777" w:rsidR="00E13A29" w:rsidRDefault="00E13A29" w:rsidP="00E13A29">
      <w:pPr>
        <w:spacing w:line="4" w:lineRule="exact"/>
        <w:rPr>
          <w:sz w:val="20"/>
          <w:szCs w:val="20"/>
        </w:rPr>
      </w:pPr>
    </w:p>
    <w:p w14:paraId="30A0242D" w14:textId="77777777" w:rsidR="00E13A29" w:rsidRDefault="00E13A29" w:rsidP="00E13A29">
      <w:pPr>
        <w:rPr>
          <w:sz w:val="20"/>
          <w:szCs w:val="20"/>
        </w:rPr>
      </w:pPr>
      <w:r>
        <w:rPr>
          <w:rFonts w:eastAsia="Times New Roman"/>
        </w:rPr>
        <w:t>Amgen B.V.</w:t>
      </w:r>
    </w:p>
    <w:p w14:paraId="0A989663" w14:textId="77777777" w:rsidR="00E13A29" w:rsidRDefault="00E13A29" w:rsidP="00E13A29">
      <w:pPr>
        <w:rPr>
          <w:sz w:val="20"/>
          <w:szCs w:val="20"/>
        </w:rPr>
      </w:pPr>
      <w:r>
        <w:rPr>
          <w:rFonts w:eastAsia="Times New Roman"/>
        </w:rPr>
        <w:t>The Netherlands</w:t>
      </w:r>
    </w:p>
    <w:p w14:paraId="1ACE04BF" w14:textId="77777777" w:rsidR="00E13A29" w:rsidRDefault="00E13A29" w:rsidP="00E13A29">
      <w:pPr>
        <w:rPr>
          <w:sz w:val="20"/>
          <w:szCs w:val="20"/>
        </w:rPr>
      </w:pPr>
      <w:r>
        <w:rPr>
          <w:rFonts w:eastAsia="Times New Roman"/>
        </w:rPr>
        <w:t>Tel: +31 (0)76 5732500</w:t>
      </w:r>
    </w:p>
    <w:p w14:paraId="6C98D060" w14:textId="77777777" w:rsidR="00E13A29" w:rsidRDefault="00E13A29" w:rsidP="00E13A29">
      <w:pPr>
        <w:spacing w:line="248" w:lineRule="exact"/>
        <w:rPr>
          <w:sz w:val="20"/>
          <w:szCs w:val="20"/>
        </w:rPr>
      </w:pPr>
    </w:p>
    <w:p w14:paraId="3D7EED88" w14:textId="77777777" w:rsidR="00E13A29" w:rsidRDefault="00E13A29" w:rsidP="00E13A29">
      <w:pPr>
        <w:rPr>
          <w:sz w:val="20"/>
          <w:szCs w:val="20"/>
        </w:rPr>
      </w:pPr>
      <w:r>
        <w:rPr>
          <w:rFonts w:eastAsia="Times New Roman"/>
          <w:b/>
          <w:bCs/>
        </w:rPr>
        <w:t>Nederland</w:t>
      </w:r>
    </w:p>
    <w:p w14:paraId="496B6195" w14:textId="77777777" w:rsidR="00E13A29" w:rsidRDefault="00E13A29" w:rsidP="00E13A29">
      <w:pPr>
        <w:spacing w:line="4" w:lineRule="exact"/>
        <w:rPr>
          <w:sz w:val="20"/>
          <w:szCs w:val="20"/>
        </w:rPr>
      </w:pPr>
    </w:p>
    <w:p w14:paraId="378B6F8A" w14:textId="77777777" w:rsidR="00E13A29" w:rsidRDefault="00E13A29" w:rsidP="00E13A29">
      <w:pPr>
        <w:rPr>
          <w:sz w:val="20"/>
          <w:szCs w:val="20"/>
        </w:rPr>
      </w:pPr>
      <w:r>
        <w:rPr>
          <w:rFonts w:eastAsia="Times New Roman"/>
        </w:rPr>
        <w:t>Amgen B.V.</w:t>
      </w:r>
    </w:p>
    <w:p w14:paraId="7B42D5E0" w14:textId="77777777" w:rsidR="00E13A29" w:rsidRDefault="00E13A29" w:rsidP="00E13A29">
      <w:pPr>
        <w:rPr>
          <w:sz w:val="20"/>
          <w:szCs w:val="20"/>
        </w:rPr>
      </w:pPr>
      <w:r>
        <w:rPr>
          <w:rFonts w:eastAsia="Times New Roman"/>
        </w:rPr>
        <w:t>Tel: +31 (0)76 5732500</w:t>
      </w:r>
    </w:p>
    <w:p w14:paraId="4E13DCEC" w14:textId="77777777" w:rsidR="00E13A29" w:rsidRDefault="00E13A29" w:rsidP="00E13A29">
      <w:pPr>
        <w:spacing w:line="249" w:lineRule="exact"/>
        <w:rPr>
          <w:sz w:val="20"/>
          <w:szCs w:val="20"/>
        </w:rPr>
      </w:pPr>
    </w:p>
    <w:p w14:paraId="6B0F2EF6" w14:textId="77777777" w:rsidR="00E13A29" w:rsidRDefault="00E13A29" w:rsidP="00E13A29">
      <w:pPr>
        <w:rPr>
          <w:sz w:val="20"/>
          <w:szCs w:val="20"/>
        </w:rPr>
      </w:pPr>
      <w:r>
        <w:rPr>
          <w:rFonts w:eastAsia="Times New Roman"/>
          <w:b/>
          <w:bCs/>
        </w:rPr>
        <w:t>Norge</w:t>
      </w:r>
    </w:p>
    <w:p w14:paraId="40897C6B" w14:textId="77777777" w:rsidR="00E13A29" w:rsidRDefault="00E13A29" w:rsidP="00E13A29">
      <w:pPr>
        <w:spacing w:line="3" w:lineRule="exact"/>
        <w:rPr>
          <w:sz w:val="20"/>
          <w:szCs w:val="20"/>
        </w:rPr>
      </w:pPr>
    </w:p>
    <w:p w14:paraId="7576E1D2" w14:textId="77777777" w:rsidR="00E13A29" w:rsidRDefault="00E13A29" w:rsidP="00E13A29">
      <w:pPr>
        <w:rPr>
          <w:sz w:val="20"/>
          <w:szCs w:val="20"/>
        </w:rPr>
      </w:pPr>
      <w:r>
        <w:rPr>
          <w:rFonts w:eastAsia="Times New Roman"/>
        </w:rPr>
        <w:t>Amgen AB</w:t>
      </w:r>
    </w:p>
    <w:p w14:paraId="6CC22408" w14:textId="77777777" w:rsidR="00E13A29" w:rsidRDefault="00E13A29" w:rsidP="00E13A29">
      <w:pPr>
        <w:rPr>
          <w:sz w:val="20"/>
          <w:szCs w:val="20"/>
        </w:rPr>
      </w:pPr>
      <w:r>
        <w:rPr>
          <w:rFonts w:eastAsia="Times New Roman"/>
        </w:rPr>
        <w:t>Tel: +47 23308000</w:t>
      </w:r>
    </w:p>
    <w:p w14:paraId="6EED32BA" w14:textId="77777777" w:rsidR="00E13A29" w:rsidRDefault="00E13A29" w:rsidP="00E13A29">
      <w:pPr>
        <w:spacing w:line="249" w:lineRule="exact"/>
        <w:rPr>
          <w:sz w:val="20"/>
          <w:szCs w:val="20"/>
        </w:rPr>
      </w:pPr>
    </w:p>
    <w:p w14:paraId="1CBFF219" w14:textId="77777777" w:rsidR="00E13A29" w:rsidRDefault="00E13A29" w:rsidP="00E13A29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Österreich</w:t>
      </w:r>
      <w:proofErr w:type="spellEnd"/>
    </w:p>
    <w:p w14:paraId="0AB76B8C" w14:textId="77777777" w:rsidR="00E13A29" w:rsidRDefault="00E13A29" w:rsidP="00E13A29">
      <w:pPr>
        <w:spacing w:line="4" w:lineRule="exact"/>
        <w:rPr>
          <w:sz w:val="20"/>
          <w:szCs w:val="20"/>
        </w:rPr>
      </w:pPr>
    </w:p>
    <w:p w14:paraId="39A591C2" w14:textId="77777777" w:rsidR="00E13A29" w:rsidRDefault="00E13A29" w:rsidP="00E13A29">
      <w:pPr>
        <w:rPr>
          <w:sz w:val="20"/>
          <w:szCs w:val="20"/>
        </w:rPr>
      </w:pPr>
      <w:r>
        <w:rPr>
          <w:rFonts w:eastAsia="Times New Roman"/>
        </w:rPr>
        <w:t>Amgen GmbH</w:t>
      </w:r>
    </w:p>
    <w:p w14:paraId="1FD58649" w14:textId="77777777" w:rsidR="00E13A29" w:rsidRDefault="00E13A29" w:rsidP="00E13A29">
      <w:pPr>
        <w:rPr>
          <w:sz w:val="20"/>
          <w:szCs w:val="20"/>
        </w:rPr>
      </w:pPr>
      <w:r>
        <w:rPr>
          <w:rFonts w:eastAsia="Times New Roman"/>
        </w:rPr>
        <w:t>Tel: +43 (0)1 50 217</w:t>
      </w:r>
    </w:p>
    <w:p w14:paraId="5D8D6AF2" w14:textId="77777777" w:rsidR="00E13A29" w:rsidRDefault="00E13A29" w:rsidP="00E13A29">
      <w:pPr>
        <w:spacing w:line="248" w:lineRule="exact"/>
        <w:rPr>
          <w:sz w:val="20"/>
          <w:szCs w:val="20"/>
        </w:rPr>
      </w:pPr>
    </w:p>
    <w:p w14:paraId="154CAA3F" w14:textId="77777777" w:rsidR="00E13A29" w:rsidRDefault="00E13A29" w:rsidP="00E13A29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Polska</w:t>
      </w:r>
      <w:proofErr w:type="spellEnd"/>
    </w:p>
    <w:p w14:paraId="392BEEAE" w14:textId="77777777" w:rsidR="00E13A29" w:rsidRDefault="00E13A29" w:rsidP="00E13A29">
      <w:pPr>
        <w:spacing w:line="4" w:lineRule="exact"/>
        <w:rPr>
          <w:sz w:val="20"/>
          <w:szCs w:val="20"/>
        </w:rPr>
      </w:pPr>
    </w:p>
    <w:p w14:paraId="6570611A" w14:textId="77777777" w:rsidR="00E13A29" w:rsidRDefault="00E13A29" w:rsidP="00E13A29">
      <w:pPr>
        <w:rPr>
          <w:sz w:val="20"/>
          <w:szCs w:val="20"/>
        </w:rPr>
      </w:pPr>
      <w:r>
        <w:rPr>
          <w:rFonts w:eastAsia="Times New Roman"/>
        </w:rPr>
        <w:t xml:space="preserve">Amgen </w:t>
      </w:r>
      <w:proofErr w:type="spellStart"/>
      <w:r>
        <w:rPr>
          <w:rFonts w:eastAsia="Times New Roman"/>
        </w:rPr>
        <w:t>Biotechnologia</w:t>
      </w:r>
      <w:proofErr w:type="spellEnd"/>
      <w:r>
        <w:rPr>
          <w:rFonts w:eastAsia="Times New Roman"/>
        </w:rPr>
        <w:t xml:space="preserve"> Sp. z </w:t>
      </w:r>
      <w:proofErr w:type="spellStart"/>
      <w:r>
        <w:rPr>
          <w:rFonts w:eastAsia="Times New Roman"/>
        </w:rPr>
        <w:t>o.o</w:t>
      </w:r>
      <w:proofErr w:type="spellEnd"/>
      <w:r>
        <w:rPr>
          <w:rFonts w:eastAsia="Times New Roman"/>
        </w:rPr>
        <w:t>.</w:t>
      </w:r>
    </w:p>
    <w:p w14:paraId="2349FEC2" w14:textId="77777777" w:rsidR="00E13A29" w:rsidRDefault="00E13A29" w:rsidP="00E13A29">
      <w:pPr>
        <w:rPr>
          <w:sz w:val="20"/>
          <w:szCs w:val="20"/>
        </w:rPr>
      </w:pPr>
      <w:r>
        <w:rPr>
          <w:rFonts w:eastAsia="Times New Roman"/>
        </w:rPr>
        <w:t>Tel.: +48 22 581 3000</w:t>
      </w:r>
    </w:p>
    <w:p w14:paraId="68BF29EC" w14:textId="77777777" w:rsidR="00E13A29" w:rsidRDefault="00E13A29" w:rsidP="00E13A29">
      <w:pPr>
        <w:spacing w:line="248" w:lineRule="exact"/>
        <w:rPr>
          <w:sz w:val="20"/>
          <w:szCs w:val="20"/>
        </w:rPr>
      </w:pPr>
    </w:p>
    <w:p w14:paraId="08B82D96" w14:textId="77777777" w:rsidR="00E13A29" w:rsidRDefault="00E13A29" w:rsidP="00E13A29">
      <w:pPr>
        <w:rPr>
          <w:sz w:val="20"/>
          <w:szCs w:val="20"/>
        </w:rPr>
      </w:pPr>
      <w:r>
        <w:rPr>
          <w:rFonts w:eastAsia="Times New Roman"/>
          <w:b/>
          <w:bCs/>
        </w:rPr>
        <w:t>Portugal</w:t>
      </w:r>
    </w:p>
    <w:p w14:paraId="1CB987B8" w14:textId="77777777" w:rsidR="00E13A29" w:rsidRDefault="00E13A29" w:rsidP="00E13A29">
      <w:pPr>
        <w:spacing w:line="4" w:lineRule="exact"/>
        <w:rPr>
          <w:sz w:val="20"/>
          <w:szCs w:val="20"/>
        </w:rPr>
      </w:pPr>
    </w:p>
    <w:p w14:paraId="1498687A" w14:textId="77777777" w:rsidR="00E13A29" w:rsidRDefault="00E13A29" w:rsidP="00E13A29">
      <w:pPr>
        <w:rPr>
          <w:sz w:val="20"/>
          <w:szCs w:val="20"/>
        </w:rPr>
      </w:pPr>
      <w:r>
        <w:rPr>
          <w:rFonts w:eastAsia="Times New Roman"/>
        </w:rPr>
        <w:t xml:space="preserve">Amgen </w:t>
      </w:r>
      <w:proofErr w:type="spellStart"/>
      <w:r>
        <w:rPr>
          <w:rFonts w:eastAsia="Times New Roman"/>
        </w:rPr>
        <w:t>Biofarmacêutica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Lda</w:t>
      </w:r>
      <w:proofErr w:type="spellEnd"/>
      <w:r>
        <w:rPr>
          <w:rFonts w:eastAsia="Times New Roman"/>
        </w:rPr>
        <w:t>.</w:t>
      </w:r>
    </w:p>
    <w:p w14:paraId="35ECC080" w14:textId="77777777" w:rsidR="00E13A29" w:rsidRDefault="00E13A29" w:rsidP="00E13A29">
      <w:pPr>
        <w:rPr>
          <w:sz w:val="20"/>
          <w:szCs w:val="20"/>
        </w:rPr>
      </w:pPr>
      <w:r>
        <w:rPr>
          <w:rFonts w:eastAsia="Times New Roman"/>
        </w:rPr>
        <w:t>Tel: +351 21 4220606</w:t>
      </w:r>
    </w:p>
    <w:p w14:paraId="56A1C078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1661B0DC" w14:textId="77777777" w:rsidR="00E13A29" w:rsidRDefault="00E13A29" w:rsidP="00E13A29">
      <w:pPr>
        <w:spacing w:line="301" w:lineRule="exact"/>
        <w:rPr>
          <w:sz w:val="20"/>
          <w:szCs w:val="20"/>
        </w:rPr>
      </w:pPr>
    </w:p>
    <w:p w14:paraId="3CCAA5AA" w14:textId="77777777" w:rsidR="00E13A29" w:rsidRDefault="00E13A29" w:rsidP="00E13A29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România</w:t>
      </w:r>
      <w:proofErr w:type="spellEnd"/>
    </w:p>
    <w:p w14:paraId="45423802" w14:textId="77777777" w:rsidR="00E13A29" w:rsidRDefault="00E13A29" w:rsidP="00E13A29">
      <w:pPr>
        <w:spacing w:line="4" w:lineRule="exact"/>
        <w:rPr>
          <w:sz w:val="20"/>
          <w:szCs w:val="20"/>
        </w:rPr>
      </w:pPr>
    </w:p>
    <w:p w14:paraId="186B88FC" w14:textId="77777777" w:rsidR="00E13A29" w:rsidRDefault="00E13A29" w:rsidP="00E13A29">
      <w:pPr>
        <w:spacing w:line="271" w:lineRule="auto"/>
        <w:ind w:right="1644"/>
        <w:rPr>
          <w:sz w:val="20"/>
          <w:szCs w:val="20"/>
        </w:rPr>
      </w:pPr>
      <w:r>
        <w:rPr>
          <w:rFonts w:eastAsia="Times New Roman"/>
        </w:rPr>
        <w:t xml:space="preserve">Genesis Biopharma </w:t>
      </w:r>
      <w:proofErr w:type="spellStart"/>
      <w:r>
        <w:rPr>
          <w:rFonts w:eastAsia="Times New Roman"/>
        </w:rPr>
        <w:t>România</w:t>
      </w:r>
      <w:proofErr w:type="spellEnd"/>
      <w:r>
        <w:rPr>
          <w:rFonts w:eastAsia="Times New Roman"/>
        </w:rPr>
        <w:t xml:space="preserve"> SRL Tel: +40 21 403 4074</w:t>
      </w:r>
    </w:p>
    <w:p w14:paraId="7072E05E" w14:textId="77777777" w:rsidR="00E13A29" w:rsidRDefault="00E13A29" w:rsidP="00E13A29">
      <w:pPr>
        <w:spacing w:line="184" w:lineRule="exact"/>
        <w:rPr>
          <w:sz w:val="20"/>
          <w:szCs w:val="20"/>
        </w:rPr>
      </w:pPr>
    </w:p>
    <w:p w14:paraId="02167887" w14:textId="77777777" w:rsidR="00E13A29" w:rsidRDefault="00E13A29" w:rsidP="00E13A29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Slovenija</w:t>
      </w:r>
      <w:proofErr w:type="spellEnd"/>
    </w:p>
    <w:p w14:paraId="331A889E" w14:textId="77777777" w:rsidR="00E13A29" w:rsidRDefault="00E13A29" w:rsidP="00E13A29">
      <w:pPr>
        <w:spacing w:line="3" w:lineRule="exact"/>
        <w:rPr>
          <w:sz w:val="20"/>
          <w:szCs w:val="20"/>
        </w:rPr>
      </w:pPr>
    </w:p>
    <w:p w14:paraId="1BF7EA5F" w14:textId="77777777" w:rsidR="00E13A29" w:rsidRDefault="00E13A29" w:rsidP="00E13A29">
      <w:pPr>
        <w:rPr>
          <w:sz w:val="20"/>
          <w:szCs w:val="20"/>
        </w:rPr>
      </w:pPr>
      <w:r>
        <w:rPr>
          <w:rFonts w:eastAsia="Times New Roman"/>
        </w:rPr>
        <w:t xml:space="preserve">AMGEN </w:t>
      </w:r>
      <w:proofErr w:type="spellStart"/>
      <w:r>
        <w:rPr>
          <w:rFonts w:eastAsia="Times New Roman"/>
        </w:rPr>
        <w:t>zdravila</w:t>
      </w:r>
      <w:proofErr w:type="spellEnd"/>
      <w:r>
        <w:rPr>
          <w:rFonts w:eastAsia="Times New Roman"/>
        </w:rPr>
        <w:t xml:space="preserve"> d.o.o.</w:t>
      </w:r>
    </w:p>
    <w:p w14:paraId="10E7083F" w14:textId="77777777" w:rsidR="00E13A29" w:rsidRDefault="00E13A29" w:rsidP="00E13A29">
      <w:pPr>
        <w:rPr>
          <w:sz w:val="20"/>
          <w:szCs w:val="20"/>
        </w:rPr>
      </w:pPr>
      <w:r>
        <w:rPr>
          <w:rFonts w:eastAsia="Times New Roman"/>
        </w:rPr>
        <w:t>Tel: +386 (0)1 585 1767</w:t>
      </w:r>
    </w:p>
    <w:p w14:paraId="0A34022D" w14:textId="77777777" w:rsidR="00E13A29" w:rsidRDefault="00E13A29" w:rsidP="00E13A29">
      <w:pPr>
        <w:spacing w:line="249" w:lineRule="exact"/>
        <w:rPr>
          <w:sz w:val="20"/>
          <w:szCs w:val="20"/>
        </w:rPr>
      </w:pPr>
    </w:p>
    <w:p w14:paraId="08442F0D" w14:textId="77777777" w:rsidR="00E13A29" w:rsidRDefault="00E13A29" w:rsidP="00E13A29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Slovenská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republika</w:t>
      </w:r>
      <w:proofErr w:type="spellEnd"/>
    </w:p>
    <w:p w14:paraId="3ACDA9C4" w14:textId="77777777" w:rsidR="00E13A29" w:rsidRDefault="00E13A29" w:rsidP="00E13A29">
      <w:pPr>
        <w:spacing w:line="4" w:lineRule="exact"/>
        <w:rPr>
          <w:sz w:val="20"/>
          <w:szCs w:val="20"/>
        </w:rPr>
      </w:pPr>
    </w:p>
    <w:p w14:paraId="7EF685D6" w14:textId="77777777" w:rsidR="00E13A29" w:rsidRDefault="00E13A29" w:rsidP="00E13A29">
      <w:pPr>
        <w:rPr>
          <w:sz w:val="20"/>
          <w:szCs w:val="20"/>
        </w:rPr>
      </w:pPr>
      <w:r>
        <w:rPr>
          <w:rFonts w:eastAsia="Times New Roman"/>
        </w:rPr>
        <w:t xml:space="preserve">Amgen Slovakia </w:t>
      </w:r>
      <w:proofErr w:type="spellStart"/>
      <w:r>
        <w:rPr>
          <w:rFonts w:eastAsia="Times New Roman"/>
        </w:rPr>
        <w:t>s.r.o.</w:t>
      </w:r>
      <w:proofErr w:type="spellEnd"/>
    </w:p>
    <w:p w14:paraId="52796770" w14:textId="77777777" w:rsidR="00E13A29" w:rsidRDefault="00E13A29" w:rsidP="00E13A29">
      <w:pPr>
        <w:rPr>
          <w:sz w:val="20"/>
          <w:szCs w:val="20"/>
        </w:rPr>
      </w:pPr>
      <w:r>
        <w:rPr>
          <w:rFonts w:eastAsia="Times New Roman"/>
        </w:rPr>
        <w:t>Tel: +421 2 321 114 49</w:t>
      </w:r>
    </w:p>
    <w:p w14:paraId="168227E7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1A419832" w14:textId="77777777" w:rsidR="00E13A29" w:rsidRDefault="00E13A29" w:rsidP="00E13A29">
      <w:pPr>
        <w:sectPr w:rsidR="00E13A29">
          <w:type w:val="continuous"/>
          <w:pgSz w:w="11900" w:h="16840"/>
          <w:pgMar w:top="1119" w:right="1440" w:bottom="183" w:left="1140" w:header="0" w:footer="0" w:gutter="0"/>
          <w:cols w:num="2" w:space="720" w:equalWidth="0">
            <w:col w:w="3920" w:space="720"/>
            <w:col w:w="4684"/>
          </w:cols>
        </w:sectPr>
      </w:pPr>
    </w:p>
    <w:p w14:paraId="61787062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647C3E9C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0D7ACCCD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3B0F9E0E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612F40CC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6CD5B769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5DEA2729" w14:textId="77777777" w:rsidR="00E13A29" w:rsidRDefault="00E13A29" w:rsidP="00E13A29">
      <w:pPr>
        <w:spacing w:line="277" w:lineRule="exact"/>
        <w:rPr>
          <w:sz w:val="20"/>
          <w:szCs w:val="20"/>
        </w:rPr>
      </w:pPr>
    </w:p>
    <w:p w14:paraId="7AED3F03" w14:textId="77777777" w:rsidR="00E13A29" w:rsidRDefault="00E13A29" w:rsidP="00E13A29">
      <w:pPr>
        <w:ind w:right="-295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40</w:t>
      </w:r>
    </w:p>
    <w:p w14:paraId="7A973E3D" w14:textId="77777777" w:rsidR="00E13A29" w:rsidRDefault="00E13A29" w:rsidP="00E13A29">
      <w:pPr>
        <w:sectPr w:rsidR="00E13A29">
          <w:type w:val="continuous"/>
          <w:pgSz w:w="11900" w:h="16840"/>
          <w:pgMar w:top="1119" w:right="1440" w:bottom="183" w:left="1140" w:header="0" w:footer="0" w:gutter="0"/>
          <w:cols w:space="720" w:equalWidth="0">
            <w:col w:w="9324"/>
          </w:cols>
        </w:sectPr>
      </w:pPr>
    </w:p>
    <w:p w14:paraId="173B9696" w14:textId="77777777" w:rsidR="00E13A29" w:rsidRDefault="00E13A29" w:rsidP="00E13A29">
      <w:pPr>
        <w:tabs>
          <w:tab w:val="left" w:pos="4620"/>
        </w:tabs>
        <w:ind w:left="100"/>
        <w:rPr>
          <w:sz w:val="20"/>
          <w:szCs w:val="20"/>
        </w:rPr>
      </w:pPr>
      <w:bookmarkStart w:id="7" w:name="page41"/>
      <w:bookmarkEnd w:id="7"/>
      <w:r>
        <w:rPr>
          <w:rFonts w:eastAsia="Times New Roman"/>
          <w:b/>
          <w:bCs/>
        </w:rPr>
        <w:lastRenderedPageBreak/>
        <w:t>Italia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Suomi/Finland</w:t>
      </w:r>
    </w:p>
    <w:p w14:paraId="640CA5AC" w14:textId="77777777" w:rsidR="00E13A29" w:rsidRDefault="00E13A29" w:rsidP="00E13A29">
      <w:pPr>
        <w:spacing w:line="3" w:lineRule="exact"/>
        <w:rPr>
          <w:sz w:val="20"/>
          <w:szCs w:val="20"/>
        </w:rPr>
      </w:pPr>
    </w:p>
    <w:p w14:paraId="543CA5A1" w14:textId="77777777" w:rsidR="00E13A29" w:rsidRDefault="00E13A29" w:rsidP="00E13A29">
      <w:pPr>
        <w:tabs>
          <w:tab w:val="left" w:pos="4620"/>
        </w:tabs>
        <w:ind w:left="100"/>
        <w:rPr>
          <w:sz w:val="20"/>
          <w:szCs w:val="20"/>
        </w:rPr>
      </w:pPr>
      <w:r>
        <w:rPr>
          <w:rFonts w:eastAsia="Times New Roman"/>
        </w:rPr>
        <w:t xml:space="preserve">Amgen </w:t>
      </w:r>
      <w:proofErr w:type="spellStart"/>
      <w:r>
        <w:rPr>
          <w:rFonts w:eastAsia="Times New Roman"/>
        </w:rPr>
        <w:t>S.r.l</w:t>
      </w:r>
      <w:proofErr w:type="spellEnd"/>
      <w:r>
        <w:rPr>
          <w:rFonts w:eastAsia="Times New Roman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 xml:space="preserve">Amgen AB, </w:t>
      </w:r>
      <w:proofErr w:type="spellStart"/>
      <w:r>
        <w:rPr>
          <w:rFonts w:eastAsia="Times New Roman"/>
          <w:sz w:val="21"/>
          <w:szCs w:val="21"/>
        </w:rPr>
        <w:t>sivuliike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Suomessa</w:t>
      </w:r>
      <w:proofErr w:type="spellEnd"/>
      <w:r>
        <w:rPr>
          <w:rFonts w:eastAsia="Times New Roman"/>
          <w:sz w:val="21"/>
          <w:szCs w:val="21"/>
        </w:rPr>
        <w:t>/Amgen AB, filial</w:t>
      </w:r>
    </w:p>
    <w:p w14:paraId="35AAEBC7" w14:textId="77777777" w:rsidR="00E13A29" w:rsidRDefault="00E13A29" w:rsidP="00E13A29">
      <w:pPr>
        <w:tabs>
          <w:tab w:val="left" w:pos="4620"/>
        </w:tabs>
        <w:ind w:left="100"/>
        <w:rPr>
          <w:sz w:val="20"/>
          <w:szCs w:val="20"/>
        </w:rPr>
      </w:pPr>
      <w:r>
        <w:rPr>
          <w:rFonts w:eastAsia="Times New Roman"/>
        </w:rPr>
        <w:t>Tel: +39 02 6241121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1"/>
          <w:szCs w:val="21"/>
        </w:rPr>
        <w:t>i</w:t>
      </w:r>
      <w:proofErr w:type="spellEnd"/>
      <w:r>
        <w:rPr>
          <w:rFonts w:eastAsia="Times New Roman"/>
          <w:sz w:val="21"/>
          <w:szCs w:val="21"/>
        </w:rPr>
        <w:t xml:space="preserve"> Finland</w:t>
      </w:r>
    </w:p>
    <w:p w14:paraId="79240669" w14:textId="77777777" w:rsidR="00E13A29" w:rsidRDefault="00E13A29" w:rsidP="00E13A29">
      <w:pPr>
        <w:ind w:left="4640"/>
        <w:rPr>
          <w:sz w:val="20"/>
          <w:szCs w:val="20"/>
        </w:rPr>
      </w:pPr>
      <w:r>
        <w:rPr>
          <w:rFonts w:eastAsia="Times New Roman"/>
        </w:rPr>
        <w:t>Puh/Tel: +358 (0)9 54900500</w:t>
      </w:r>
    </w:p>
    <w:p w14:paraId="7616D12B" w14:textId="77777777" w:rsidR="00E13A29" w:rsidRDefault="00E13A29" w:rsidP="00E13A29">
      <w:pPr>
        <w:spacing w:line="249" w:lineRule="exact"/>
        <w:rPr>
          <w:sz w:val="20"/>
          <w:szCs w:val="20"/>
        </w:rPr>
      </w:pPr>
    </w:p>
    <w:p w14:paraId="64635588" w14:textId="77777777" w:rsidR="00E13A29" w:rsidRDefault="00E13A29" w:rsidP="00E13A29">
      <w:pPr>
        <w:tabs>
          <w:tab w:val="left" w:pos="4620"/>
        </w:tabs>
        <w:ind w:left="10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Kύ</w:t>
      </w:r>
      <w:proofErr w:type="spellEnd"/>
      <w:r>
        <w:rPr>
          <w:rFonts w:eastAsia="Times New Roman"/>
          <w:b/>
          <w:bCs/>
        </w:rPr>
        <w:t>προς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Sverige</w:t>
      </w:r>
    </w:p>
    <w:p w14:paraId="51D5266F" w14:textId="77777777" w:rsidR="00E13A29" w:rsidRDefault="00E13A29" w:rsidP="00E13A29">
      <w:pPr>
        <w:spacing w:line="4" w:lineRule="exact"/>
        <w:rPr>
          <w:sz w:val="20"/>
          <w:szCs w:val="20"/>
        </w:rPr>
      </w:pPr>
    </w:p>
    <w:p w14:paraId="79305CF8" w14:textId="77777777" w:rsidR="00E13A29" w:rsidRDefault="00E13A29" w:rsidP="00E13A29">
      <w:pPr>
        <w:tabs>
          <w:tab w:val="left" w:pos="4620"/>
        </w:tabs>
        <w:ind w:left="100"/>
        <w:rPr>
          <w:sz w:val="20"/>
          <w:szCs w:val="20"/>
        </w:rPr>
      </w:pPr>
      <w:r>
        <w:rPr>
          <w:rFonts w:eastAsia="Times New Roman"/>
        </w:rPr>
        <w:t>Genesis Pharma (Cyprus) Ltd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Amgen AB</w:t>
      </w:r>
    </w:p>
    <w:p w14:paraId="4F6B7E78" w14:textId="77777777" w:rsidR="00E13A29" w:rsidRDefault="00E13A29" w:rsidP="00E13A29">
      <w:pPr>
        <w:tabs>
          <w:tab w:val="left" w:pos="4620"/>
        </w:tabs>
        <w:ind w:left="100"/>
        <w:rPr>
          <w:sz w:val="20"/>
          <w:szCs w:val="20"/>
        </w:rPr>
      </w:pPr>
      <w:proofErr w:type="spellStart"/>
      <w:r>
        <w:rPr>
          <w:rFonts w:eastAsia="Times New Roman"/>
        </w:rPr>
        <w:t>Τηλ</w:t>
      </w:r>
      <w:proofErr w:type="spellEnd"/>
      <w:r>
        <w:rPr>
          <w:rFonts w:eastAsia="Times New Roman"/>
        </w:rPr>
        <w:t>: +357 22765735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Tel: +46 (0)8 6951100</w:t>
      </w:r>
    </w:p>
    <w:p w14:paraId="69DF9C7B" w14:textId="77777777" w:rsidR="00E13A29" w:rsidRDefault="00E13A29" w:rsidP="00E13A29">
      <w:pPr>
        <w:spacing w:line="248" w:lineRule="exact"/>
        <w:rPr>
          <w:sz w:val="20"/>
          <w:szCs w:val="20"/>
        </w:rPr>
      </w:pPr>
    </w:p>
    <w:p w14:paraId="42830130" w14:textId="77777777" w:rsidR="00E13A29" w:rsidRDefault="00E13A29" w:rsidP="00E13A29">
      <w:pPr>
        <w:tabs>
          <w:tab w:val="left" w:pos="4620"/>
        </w:tabs>
        <w:ind w:left="100"/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Latvija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United Kingdom</w:t>
      </w:r>
    </w:p>
    <w:p w14:paraId="36D1547F" w14:textId="77777777" w:rsidR="00E13A29" w:rsidRDefault="00E13A29" w:rsidP="00E13A29">
      <w:pPr>
        <w:spacing w:line="4" w:lineRule="exact"/>
        <w:rPr>
          <w:sz w:val="20"/>
          <w:szCs w:val="20"/>
        </w:rPr>
      </w:pPr>
    </w:p>
    <w:p w14:paraId="17A35F9C" w14:textId="77777777" w:rsidR="00E13A29" w:rsidRDefault="00E13A29" w:rsidP="00E13A29">
      <w:pPr>
        <w:tabs>
          <w:tab w:val="left" w:pos="4620"/>
        </w:tabs>
        <w:ind w:left="100"/>
        <w:rPr>
          <w:sz w:val="20"/>
          <w:szCs w:val="20"/>
        </w:rPr>
      </w:pPr>
      <w:r>
        <w:rPr>
          <w:rFonts w:eastAsia="Times New Roman"/>
        </w:rPr>
        <w:t xml:space="preserve">Amgen Switzerland AG </w:t>
      </w:r>
      <w:proofErr w:type="spellStart"/>
      <w:r>
        <w:rPr>
          <w:rFonts w:eastAsia="Times New Roman"/>
        </w:rPr>
        <w:t>Rīgas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filiāle</w:t>
      </w:r>
      <w:proofErr w:type="spellEnd"/>
      <w:r>
        <w:rPr>
          <w:sz w:val="20"/>
          <w:szCs w:val="20"/>
        </w:rPr>
        <w:tab/>
      </w:r>
      <w:r>
        <w:rPr>
          <w:rFonts w:eastAsia="Times New Roman"/>
        </w:rPr>
        <w:t>Amgen Limited</w:t>
      </w:r>
    </w:p>
    <w:p w14:paraId="7197A47B" w14:textId="77777777" w:rsidR="00E13A29" w:rsidRDefault="00E13A29" w:rsidP="00E13A29">
      <w:pPr>
        <w:tabs>
          <w:tab w:val="left" w:pos="4620"/>
        </w:tabs>
        <w:ind w:left="100"/>
        <w:rPr>
          <w:sz w:val="20"/>
          <w:szCs w:val="20"/>
        </w:rPr>
      </w:pPr>
      <w:r>
        <w:rPr>
          <w:rFonts w:eastAsia="Times New Roman"/>
        </w:rPr>
        <w:t>Tel: +371 257 25888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Tel: +44 (0)1223 420305</w:t>
      </w:r>
    </w:p>
    <w:p w14:paraId="618E0774" w14:textId="77777777" w:rsidR="00E13A29" w:rsidRDefault="00E13A29" w:rsidP="00E13A29">
      <w:pPr>
        <w:spacing w:line="200" w:lineRule="exact"/>
        <w:rPr>
          <w:sz w:val="20"/>
          <w:szCs w:val="20"/>
        </w:rPr>
      </w:pPr>
    </w:p>
    <w:p w14:paraId="20C0E840" w14:textId="77777777" w:rsidR="00E13A29" w:rsidRDefault="00E13A29" w:rsidP="00E13A29">
      <w:pPr>
        <w:spacing w:line="301" w:lineRule="exact"/>
        <w:rPr>
          <w:sz w:val="20"/>
          <w:szCs w:val="20"/>
        </w:rPr>
      </w:pPr>
    </w:p>
    <w:p w14:paraId="239AA370" w14:textId="77777777" w:rsidR="00E13A29" w:rsidRDefault="00E13A29" w:rsidP="00E13A29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Šis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pakuotės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lapelis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paskutinį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kartą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peržiūrėtas</w:t>
      </w:r>
      <w:proofErr w:type="spellEnd"/>
    </w:p>
    <w:p w14:paraId="7E7CBE66" w14:textId="77777777" w:rsidR="00E13A29" w:rsidRDefault="00E13A29" w:rsidP="00E13A29">
      <w:pPr>
        <w:spacing w:line="253" w:lineRule="exact"/>
        <w:rPr>
          <w:sz w:val="20"/>
          <w:szCs w:val="20"/>
        </w:rPr>
      </w:pPr>
    </w:p>
    <w:p w14:paraId="12A15089" w14:textId="77777777" w:rsidR="00E13A29" w:rsidRDefault="00E13A29" w:rsidP="00E13A29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</w:rPr>
        <w:t>Kiti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informacijos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šaltiniai</w:t>
      </w:r>
      <w:proofErr w:type="spellEnd"/>
    </w:p>
    <w:p w14:paraId="519B4673" w14:textId="77777777" w:rsidR="00E13A29" w:rsidRDefault="00E13A29" w:rsidP="00E13A29">
      <w:pPr>
        <w:spacing w:line="256" w:lineRule="exact"/>
        <w:rPr>
          <w:sz w:val="20"/>
          <w:szCs w:val="20"/>
        </w:rPr>
      </w:pPr>
    </w:p>
    <w:p w14:paraId="4CEA89D6" w14:textId="77777777" w:rsidR="00E13A29" w:rsidRDefault="00E13A29" w:rsidP="00E13A29">
      <w:pPr>
        <w:spacing w:line="295" w:lineRule="auto"/>
        <w:rPr>
          <w:sz w:val="20"/>
          <w:szCs w:val="20"/>
        </w:rPr>
      </w:pPr>
      <w:proofErr w:type="spellStart"/>
      <w:r>
        <w:rPr>
          <w:rFonts w:eastAsia="Times New Roman"/>
          <w:sz w:val="21"/>
          <w:szCs w:val="21"/>
        </w:rPr>
        <w:t>Išsami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ir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atnaujinta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informacija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apie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šį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vaistą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pateikiama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išmaniuoju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telefonu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nuskaičius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ant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išorinės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pakuotės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esantį</w:t>
      </w:r>
      <w:proofErr w:type="spellEnd"/>
      <w:r>
        <w:rPr>
          <w:rFonts w:eastAsia="Times New Roman"/>
          <w:sz w:val="21"/>
          <w:szCs w:val="21"/>
        </w:rPr>
        <w:t xml:space="preserve"> QR </w:t>
      </w:r>
      <w:proofErr w:type="spellStart"/>
      <w:r>
        <w:rPr>
          <w:rFonts w:eastAsia="Times New Roman"/>
          <w:sz w:val="21"/>
          <w:szCs w:val="21"/>
        </w:rPr>
        <w:t>kodą</w:t>
      </w:r>
      <w:proofErr w:type="spellEnd"/>
      <w:r>
        <w:rPr>
          <w:rFonts w:eastAsia="Times New Roman"/>
          <w:sz w:val="21"/>
          <w:szCs w:val="21"/>
        </w:rPr>
        <w:t xml:space="preserve">. Ta </w:t>
      </w:r>
      <w:proofErr w:type="spellStart"/>
      <w:r>
        <w:rPr>
          <w:rFonts w:eastAsia="Times New Roman"/>
          <w:sz w:val="21"/>
          <w:szCs w:val="21"/>
        </w:rPr>
        <w:t>pati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informacija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taip</w:t>
      </w:r>
      <w:proofErr w:type="spellEnd"/>
      <w:r>
        <w:rPr>
          <w:rFonts w:eastAsia="Times New Roman"/>
          <w:sz w:val="21"/>
          <w:szCs w:val="21"/>
        </w:rPr>
        <w:t xml:space="preserve"> pat </w:t>
      </w:r>
      <w:proofErr w:type="spellStart"/>
      <w:r>
        <w:rPr>
          <w:rFonts w:eastAsia="Times New Roman"/>
          <w:sz w:val="21"/>
          <w:szCs w:val="21"/>
        </w:rPr>
        <w:t>pateikiama</w:t>
      </w:r>
      <w:proofErr w:type="spellEnd"/>
      <w:r>
        <w:rPr>
          <w:rFonts w:eastAsia="Times New Roman"/>
          <w:sz w:val="21"/>
          <w:szCs w:val="21"/>
        </w:rPr>
        <w:t xml:space="preserve"> </w:t>
      </w:r>
      <w:proofErr w:type="spellStart"/>
      <w:r>
        <w:rPr>
          <w:rFonts w:eastAsia="Times New Roman"/>
          <w:sz w:val="21"/>
          <w:szCs w:val="21"/>
        </w:rPr>
        <w:t>šiuo</w:t>
      </w:r>
      <w:proofErr w:type="spellEnd"/>
      <w:r>
        <w:rPr>
          <w:rFonts w:eastAsia="Times New Roman"/>
          <w:sz w:val="21"/>
          <w:szCs w:val="21"/>
        </w:rPr>
        <w:t xml:space="preserve"> URL </w:t>
      </w:r>
      <w:proofErr w:type="spellStart"/>
      <w:r>
        <w:rPr>
          <w:rFonts w:eastAsia="Times New Roman"/>
          <w:sz w:val="21"/>
          <w:szCs w:val="21"/>
        </w:rPr>
        <w:t>adresu</w:t>
      </w:r>
      <w:proofErr w:type="spellEnd"/>
      <w:r>
        <w:rPr>
          <w:rFonts w:eastAsia="Times New Roman"/>
          <w:sz w:val="21"/>
          <w:szCs w:val="21"/>
        </w:rPr>
        <w:t xml:space="preserve">: </w:t>
      </w:r>
      <w:r>
        <w:rPr>
          <w:rFonts w:eastAsia="Times New Roman"/>
          <w:color w:val="0000FF"/>
          <w:sz w:val="21"/>
          <w:szCs w:val="21"/>
          <w:u w:val="single"/>
        </w:rPr>
        <w:t>www.otezla-eu-pil.com</w:t>
      </w:r>
      <w:r>
        <w:rPr>
          <w:rFonts w:eastAsia="Times New Roman"/>
          <w:sz w:val="21"/>
          <w:szCs w:val="21"/>
        </w:rPr>
        <w:t>.</w:t>
      </w:r>
    </w:p>
    <w:p w14:paraId="5CB6AB56" w14:textId="77777777" w:rsidR="00E13A29" w:rsidRDefault="00E13A29" w:rsidP="00E13A29">
      <w:pPr>
        <w:spacing w:line="166" w:lineRule="exact"/>
        <w:rPr>
          <w:sz w:val="20"/>
          <w:szCs w:val="20"/>
        </w:rPr>
      </w:pPr>
    </w:p>
    <w:p w14:paraId="66D7DEDA" w14:textId="77777777" w:rsidR="00E13A29" w:rsidRDefault="00E13A29" w:rsidP="00E13A29">
      <w:pPr>
        <w:spacing w:line="271" w:lineRule="auto"/>
        <w:ind w:right="2280"/>
        <w:rPr>
          <w:sz w:val="20"/>
          <w:szCs w:val="20"/>
        </w:rPr>
      </w:pPr>
      <w:proofErr w:type="spellStart"/>
      <w:r>
        <w:rPr>
          <w:rFonts w:eastAsia="Times New Roman"/>
        </w:rPr>
        <w:t>Išsami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informacija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vaistą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pateikiama</w:t>
      </w:r>
      <w:proofErr w:type="spellEnd"/>
      <w:r>
        <w:rPr>
          <w:rFonts w:eastAsia="Times New Roman"/>
        </w:rPr>
        <w:t xml:space="preserve"> Europos </w:t>
      </w:r>
      <w:proofErr w:type="spellStart"/>
      <w:r>
        <w:rPr>
          <w:rFonts w:eastAsia="Times New Roman"/>
        </w:rPr>
        <w:t>vaistų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agentūros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tinklalapyje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color w:val="0000FF"/>
          <w:u w:val="single"/>
        </w:rPr>
        <w:t>http://www.ema.europa.eu/</w:t>
      </w:r>
      <w:r>
        <w:rPr>
          <w:rFonts w:eastAsia="Times New Roman"/>
          <w:color w:val="000000"/>
        </w:rPr>
        <w:t>.</w:t>
      </w:r>
    </w:p>
    <w:p w14:paraId="19D4F793" w14:textId="77777777" w:rsidR="00033B9F" w:rsidRDefault="00033B9F"/>
    <w:sectPr w:rsidR="00033B9F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CE74E"/>
    <w:multiLevelType w:val="hybridMultilevel"/>
    <w:tmpl w:val="4A7A9C22"/>
    <w:lvl w:ilvl="0" w:tplc="4BF8F290">
      <w:start w:val="6"/>
      <w:numFmt w:val="decimal"/>
      <w:lvlText w:val="%1."/>
      <w:lvlJc w:val="left"/>
    </w:lvl>
    <w:lvl w:ilvl="1" w:tplc="FD76541C">
      <w:numFmt w:val="decimal"/>
      <w:lvlText w:val=""/>
      <w:lvlJc w:val="left"/>
    </w:lvl>
    <w:lvl w:ilvl="2" w:tplc="15A6F80E">
      <w:numFmt w:val="decimal"/>
      <w:lvlText w:val=""/>
      <w:lvlJc w:val="left"/>
    </w:lvl>
    <w:lvl w:ilvl="3" w:tplc="C9F09E14">
      <w:numFmt w:val="decimal"/>
      <w:lvlText w:val=""/>
      <w:lvlJc w:val="left"/>
    </w:lvl>
    <w:lvl w:ilvl="4" w:tplc="03821230">
      <w:numFmt w:val="decimal"/>
      <w:lvlText w:val=""/>
      <w:lvlJc w:val="left"/>
    </w:lvl>
    <w:lvl w:ilvl="5" w:tplc="093A5414">
      <w:numFmt w:val="decimal"/>
      <w:lvlText w:val=""/>
      <w:lvlJc w:val="left"/>
    </w:lvl>
    <w:lvl w:ilvl="6" w:tplc="165C0938">
      <w:numFmt w:val="decimal"/>
      <w:lvlText w:val=""/>
      <w:lvlJc w:val="left"/>
    </w:lvl>
    <w:lvl w:ilvl="7" w:tplc="24ECCD08">
      <w:numFmt w:val="decimal"/>
      <w:lvlText w:val=""/>
      <w:lvlJc w:val="left"/>
    </w:lvl>
    <w:lvl w:ilvl="8" w:tplc="4B78AC48">
      <w:numFmt w:val="decimal"/>
      <w:lvlText w:val=""/>
      <w:lvlJc w:val="left"/>
    </w:lvl>
  </w:abstractNum>
  <w:abstractNum w:abstractNumId="1" w15:restartNumberingAfterBreak="0">
    <w:nsid w:val="26F324BA"/>
    <w:multiLevelType w:val="hybridMultilevel"/>
    <w:tmpl w:val="A00A2D46"/>
    <w:lvl w:ilvl="0" w:tplc="448C4108">
      <w:start w:val="1"/>
      <w:numFmt w:val="decimal"/>
      <w:lvlText w:val="%1."/>
      <w:lvlJc w:val="left"/>
    </w:lvl>
    <w:lvl w:ilvl="1" w:tplc="4B740308">
      <w:numFmt w:val="decimal"/>
      <w:lvlText w:val=""/>
      <w:lvlJc w:val="left"/>
    </w:lvl>
    <w:lvl w:ilvl="2" w:tplc="B9F45A24">
      <w:numFmt w:val="decimal"/>
      <w:lvlText w:val=""/>
      <w:lvlJc w:val="left"/>
    </w:lvl>
    <w:lvl w:ilvl="3" w:tplc="9C588900">
      <w:numFmt w:val="decimal"/>
      <w:lvlText w:val=""/>
      <w:lvlJc w:val="left"/>
    </w:lvl>
    <w:lvl w:ilvl="4" w:tplc="5EFAFC4C">
      <w:numFmt w:val="decimal"/>
      <w:lvlText w:val=""/>
      <w:lvlJc w:val="left"/>
    </w:lvl>
    <w:lvl w:ilvl="5" w:tplc="80748780">
      <w:numFmt w:val="decimal"/>
      <w:lvlText w:val=""/>
      <w:lvlJc w:val="left"/>
    </w:lvl>
    <w:lvl w:ilvl="6" w:tplc="C01A4726">
      <w:numFmt w:val="decimal"/>
      <w:lvlText w:val=""/>
      <w:lvlJc w:val="left"/>
    </w:lvl>
    <w:lvl w:ilvl="7" w:tplc="E5A6C136">
      <w:numFmt w:val="decimal"/>
      <w:lvlText w:val=""/>
      <w:lvlJc w:val="left"/>
    </w:lvl>
    <w:lvl w:ilvl="8" w:tplc="D6BEC86A">
      <w:numFmt w:val="decimal"/>
      <w:lvlText w:val=""/>
      <w:lvlJc w:val="left"/>
    </w:lvl>
  </w:abstractNum>
  <w:abstractNum w:abstractNumId="2" w15:restartNumberingAfterBreak="0">
    <w:nsid w:val="43F18422"/>
    <w:multiLevelType w:val="hybridMultilevel"/>
    <w:tmpl w:val="F5A2EC60"/>
    <w:lvl w:ilvl="0" w:tplc="D346B502">
      <w:start w:val="1"/>
      <w:numFmt w:val="bullet"/>
      <w:lvlText w:val="-"/>
      <w:lvlJc w:val="left"/>
    </w:lvl>
    <w:lvl w:ilvl="1" w:tplc="C172B7EE">
      <w:numFmt w:val="decimal"/>
      <w:lvlText w:val=""/>
      <w:lvlJc w:val="left"/>
    </w:lvl>
    <w:lvl w:ilvl="2" w:tplc="B584398E">
      <w:numFmt w:val="decimal"/>
      <w:lvlText w:val=""/>
      <w:lvlJc w:val="left"/>
    </w:lvl>
    <w:lvl w:ilvl="3" w:tplc="88C42906">
      <w:numFmt w:val="decimal"/>
      <w:lvlText w:val=""/>
      <w:lvlJc w:val="left"/>
    </w:lvl>
    <w:lvl w:ilvl="4" w:tplc="39E45C78">
      <w:numFmt w:val="decimal"/>
      <w:lvlText w:val=""/>
      <w:lvlJc w:val="left"/>
    </w:lvl>
    <w:lvl w:ilvl="5" w:tplc="046AA2E2">
      <w:numFmt w:val="decimal"/>
      <w:lvlText w:val=""/>
      <w:lvlJc w:val="left"/>
    </w:lvl>
    <w:lvl w:ilvl="6" w:tplc="55CABA12">
      <w:numFmt w:val="decimal"/>
      <w:lvlText w:val=""/>
      <w:lvlJc w:val="left"/>
    </w:lvl>
    <w:lvl w:ilvl="7" w:tplc="C764E22E">
      <w:numFmt w:val="decimal"/>
      <w:lvlText w:val=""/>
      <w:lvlJc w:val="left"/>
    </w:lvl>
    <w:lvl w:ilvl="8" w:tplc="A19EDB98">
      <w:numFmt w:val="decimal"/>
      <w:lvlText w:val=""/>
      <w:lvlJc w:val="left"/>
    </w:lvl>
  </w:abstractNum>
  <w:abstractNum w:abstractNumId="3" w15:restartNumberingAfterBreak="0">
    <w:nsid w:val="49DA307D"/>
    <w:multiLevelType w:val="hybridMultilevel"/>
    <w:tmpl w:val="CA128C92"/>
    <w:lvl w:ilvl="0" w:tplc="4424AE64">
      <w:start w:val="2"/>
      <w:numFmt w:val="decimal"/>
      <w:lvlText w:val="%1."/>
      <w:lvlJc w:val="left"/>
    </w:lvl>
    <w:lvl w:ilvl="1" w:tplc="E34A122A">
      <w:numFmt w:val="decimal"/>
      <w:lvlText w:val=""/>
      <w:lvlJc w:val="left"/>
    </w:lvl>
    <w:lvl w:ilvl="2" w:tplc="4CB403C0">
      <w:numFmt w:val="decimal"/>
      <w:lvlText w:val=""/>
      <w:lvlJc w:val="left"/>
    </w:lvl>
    <w:lvl w:ilvl="3" w:tplc="429A7F38">
      <w:numFmt w:val="decimal"/>
      <w:lvlText w:val=""/>
      <w:lvlJc w:val="left"/>
    </w:lvl>
    <w:lvl w:ilvl="4" w:tplc="1D360F18">
      <w:numFmt w:val="decimal"/>
      <w:lvlText w:val=""/>
      <w:lvlJc w:val="left"/>
    </w:lvl>
    <w:lvl w:ilvl="5" w:tplc="78FAABB4">
      <w:numFmt w:val="decimal"/>
      <w:lvlText w:val=""/>
      <w:lvlJc w:val="left"/>
    </w:lvl>
    <w:lvl w:ilvl="6" w:tplc="A69E794E">
      <w:numFmt w:val="decimal"/>
      <w:lvlText w:val=""/>
      <w:lvlJc w:val="left"/>
    </w:lvl>
    <w:lvl w:ilvl="7" w:tplc="2020D704">
      <w:numFmt w:val="decimal"/>
      <w:lvlText w:val=""/>
      <w:lvlJc w:val="left"/>
    </w:lvl>
    <w:lvl w:ilvl="8" w:tplc="51361DA4">
      <w:numFmt w:val="decimal"/>
      <w:lvlText w:val=""/>
      <w:lvlJc w:val="left"/>
    </w:lvl>
  </w:abstractNum>
  <w:abstractNum w:abstractNumId="4" w15:restartNumberingAfterBreak="0">
    <w:nsid w:val="50801EE1"/>
    <w:multiLevelType w:val="hybridMultilevel"/>
    <w:tmpl w:val="86DC34E2"/>
    <w:lvl w:ilvl="0" w:tplc="0A5A79EA">
      <w:start w:val="3"/>
      <w:numFmt w:val="decimal"/>
      <w:lvlText w:val="%1."/>
      <w:lvlJc w:val="left"/>
    </w:lvl>
    <w:lvl w:ilvl="1" w:tplc="6F2EA820">
      <w:numFmt w:val="decimal"/>
      <w:lvlText w:val=""/>
      <w:lvlJc w:val="left"/>
    </w:lvl>
    <w:lvl w:ilvl="2" w:tplc="840EA586">
      <w:numFmt w:val="decimal"/>
      <w:lvlText w:val=""/>
      <w:lvlJc w:val="left"/>
    </w:lvl>
    <w:lvl w:ilvl="3" w:tplc="B9AA6594">
      <w:numFmt w:val="decimal"/>
      <w:lvlText w:val=""/>
      <w:lvlJc w:val="left"/>
    </w:lvl>
    <w:lvl w:ilvl="4" w:tplc="7EB46744">
      <w:numFmt w:val="decimal"/>
      <w:lvlText w:val=""/>
      <w:lvlJc w:val="left"/>
    </w:lvl>
    <w:lvl w:ilvl="5" w:tplc="3AE4C5B4">
      <w:numFmt w:val="decimal"/>
      <w:lvlText w:val=""/>
      <w:lvlJc w:val="left"/>
    </w:lvl>
    <w:lvl w:ilvl="6" w:tplc="348C2E6A">
      <w:numFmt w:val="decimal"/>
      <w:lvlText w:val=""/>
      <w:lvlJc w:val="left"/>
    </w:lvl>
    <w:lvl w:ilvl="7" w:tplc="E226922A">
      <w:numFmt w:val="decimal"/>
      <w:lvlText w:val=""/>
      <w:lvlJc w:val="left"/>
    </w:lvl>
    <w:lvl w:ilvl="8" w:tplc="ED6CFD30">
      <w:numFmt w:val="decimal"/>
      <w:lvlText w:val=""/>
      <w:lvlJc w:val="left"/>
    </w:lvl>
  </w:abstractNum>
  <w:abstractNum w:abstractNumId="5" w15:restartNumberingAfterBreak="0">
    <w:nsid w:val="555C55B5"/>
    <w:multiLevelType w:val="hybridMultilevel"/>
    <w:tmpl w:val="9D6A70E8"/>
    <w:lvl w:ilvl="0" w:tplc="D766203A">
      <w:start w:val="5"/>
      <w:numFmt w:val="decimal"/>
      <w:lvlText w:val="%1."/>
      <w:lvlJc w:val="left"/>
    </w:lvl>
    <w:lvl w:ilvl="1" w:tplc="D6B47526">
      <w:numFmt w:val="decimal"/>
      <w:lvlText w:val=""/>
      <w:lvlJc w:val="left"/>
    </w:lvl>
    <w:lvl w:ilvl="2" w:tplc="C35651D6">
      <w:numFmt w:val="decimal"/>
      <w:lvlText w:val=""/>
      <w:lvlJc w:val="left"/>
    </w:lvl>
    <w:lvl w:ilvl="3" w:tplc="036484E8">
      <w:numFmt w:val="decimal"/>
      <w:lvlText w:val=""/>
      <w:lvlJc w:val="left"/>
    </w:lvl>
    <w:lvl w:ilvl="4" w:tplc="30F8F598">
      <w:numFmt w:val="decimal"/>
      <w:lvlText w:val=""/>
      <w:lvlJc w:val="left"/>
    </w:lvl>
    <w:lvl w:ilvl="5" w:tplc="80FCCCCC">
      <w:numFmt w:val="decimal"/>
      <w:lvlText w:val=""/>
      <w:lvlJc w:val="left"/>
    </w:lvl>
    <w:lvl w:ilvl="6" w:tplc="25163702">
      <w:numFmt w:val="decimal"/>
      <w:lvlText w:val=""/>
      <w:lvlJc w:val="left"/>
    </w:lvl>
    <w:lvl w:ilvl="7" w:tplc="A7A268C8">
      <w:numFmt w:val="decimal"/>
      <w:lvlText w:val=""/>
      <w:lvlJc w:val="left"/>
    </w:lvl>
    <w:lvl w:ilvl="8" w:tplc="550071E8">
      <w:numFmt w:val="decimal"/>
      <w:lvlText w:val=""/>
      <w:lvlJc w:val="left"/>
    </w:lvl>
  </w:abstractNum>
  <w:abstractNum w:abstractNumId="6" w15:restartNumberingAfterBreak="0">
    <w:nsid w:val="60EF0119"/>
    <w:multiLevelType w:val="hybridMultilevel"/>
    <w:tmpl w:val="D1EABB82"/>
    <w:lvl w:ilvl="0" w:tplc="156AF374">
      <w:start w:val="1"/>
      <w:numFmt w:val="decimal"/>
      <w:lvlText w:val="%1."/>
      <w:lvlJc w:val="left"/>
    </w:lvl>
    <w:lvl w:ilvl="1" w:tplc="4E14B968">
      <w:numFmt w:val="decimal"/>
      <w:lvlText w:val=""/>
      <w:lvlJc w:val="left"/>
    </w:lvl>
    <w:lvl w:ilvl="2" w:tplc="61486F6C">
      <w:numFmt w:val="decimal"/>
      <w:lvlText w:val=""/>
      <w:lvlJc w:val="left"/>
    </w:lvl>
    <w:lvl w:ilvl="3" w:tplc="E2C41274">
      <w:numFmt w:val="decimal"/>
      <w:lvlText w:val=""/>
      <w:lvlJc w:val="left"/>
    </w:lvl>
    <w:lvl w:ilvl="4" w:tplc="3F2832F4">
      <w:numFmt w:val="decimal"/>
      <w:lvlText w:val=""/>
      <w:lvlJc w:val="left"/>
    </w:lvl>
    <w:lvl w:ilvl="5" w:tplc="1DF82F60">
      <w:numFmt w:val="decimal"/>
      <w:lvlText w:val=""/>
      <w:lvlJc w:val="left"/>
    </w:lvl>
    <w:lvl w:ilvl="6" w:tplc="D21E4CC8">
      <w:numFmt w:val="decimal"/>
      <w:lvlText w:val=""/>
      <w:lvlJc w:val="left"/>
    </w:lvl>
    <w:lvl w:ilvl="7" w:tplc="F5402FFA">
      <w:numFmt w:val="decimal"/>
      <w:lvlText w:val=""/>
      <w:lvlJc w:val="left"/>
    </w:lvl>
    <w:lvl w:ilvl="8" w:tplc="E49A745E">
      <w:numFmt w:val="decimal"/>
      <w:lvlText w:val=""/>
      <w:lvlJc w:val="left"/>
    </w:lvl>
  </w:abstractNum>
  <w:abstractNum w:abstractNumId="7" w15:restartNumberingAfterBreak="0">
    <w:nsid w:val="6A5F7029"/>
    <w:multiLevelType w:val="hybridMultilevel"/>
    <w:tmpl w:val="7138FCD8"/>
    <w:lvl w:ilvl="0" w:tplc="87BCC87A">
      <w:start w:val="4"/>
      <w:numFmt w:val="decimal"/>
      <w:lvlText w:val="%1."/>
      <w:lvlJc w:val="left"/>
    </w:lvl>
    <w:lvl w:ilvl="1" w:tplc="803C224C">
      <w:numFmt w:val="decimal"/>
      <w:lvlText w:val=""/>
      <w:lvlJc w:val="left"/>
    </w:lvl>
    <w:lvl w:ilvl="2" w:tplc="03FE806A">
      <w:numFmt w:val="decimal"/>
      <w:lvlText w:val=""/>
      <w:lvlJc w:val="left"/>
    </w:lvl>
    <w:lvl w:ilvl="3" w:tplc="D040BEF0">
      <w:numFmt w:val="decimal"/>
      <w:lvlText w:val=""/>
      <w:lvlJc w:val="left"/>
    </w:lvl>
    <w:lvl w:ilvl="4" w:tplc="AD8E965A">
      <w:numFmt w:val="decimal"/>
      <w:lvlText w:val=""/>
      <w:lvlJc w:val="left"/>
    </w:lvl>
    <w:lvl w:ilvl="5" w:tplc="724EA6FE">
      <w:numFmt w:val="decimal"/>
      <w:lvlText w:val=""/>
      <w:lvlJc w:val="left"/>
    </w:lvl>
    <w:lvl w:ilvl="6" w:tplc="033A3344">
      <w:numFmt w:val="decimal"/>
      <w:lvlText w:val=""/>
      <w:lvlJc w:val="left"/>
    </w:lvl>
    <w:lvl w:ilvl="7" w:tplc="0296B01C">
      <w:numFmt w:val="decimal"/>
      <w:lvlText w:val=""/>
      <w:lvlJc w:val="left"/>
    </w:lvl>
    <w:lvl w:ilvl="8" w:tplc="8DB2773A">
      <w:numFmt w:val="decimal"/>
      <w:lvlText w:val=""/>
      <w:lvlJc w:val="left"/>
    </w:lvl>
  </w:abstractNum>
  <w:abstractNum w:abstractNumId="8" w15:restartNumberingAfterBreak="0">
    <w:nsid w:val="7F01579B"/>
    <w:multiLevelType w:val="hybridMultilevel"/>
    <w:tmpl w:val="44B65774"/>
    <w:lvl w:ilvl="0" w:tplc="766698E2">
      <w:start w:val="1"/>
      <w:numFmt w:val="bullet"/>
      <w:lvlText w:val=" "/>
      <w:lvlJc w:val="left"/>
    </w:lvl>
    <w:lvl w:ilvl="1" w:tplc="B4CC97AA">
      <w:start w:val="1"/>
      <w:numFmt w:val="bullet"/>
      <w:lvlText w:val="-"/>
      <w:lvlJc w:val="left"/>
    </w:lvl>
    <w:lvl w:ilvl="2" w:tplc="DCF6767A">
      <w:numFmt w:val="decimal"/>
      <w:lvlText w:val=""/>
      <w:lvlJc w:val="left"/>
    </w:lvl>
    <w:lvl w:ilvl="3" w:tplc="9230CCF4">
      <w:numFmt w:val="decimal"/>
      <w:lvlText w:val=""/>
      <w:lvlJc w:val="left"/>
    </w:lvl>
    <w:lvl w:ilvl="4" w:tplc="43244E16">
      <w:numFmt w:val="decimal"/>
      <w:lvlText w:val=""/>
      <w:lvlJc w:val="left"/>
    </w:lvl>
    <w:lvl w:ilvl="5" w:tplc="37284214">
      <w:numFmt w:val="decimal"/>
      <w:lvlText w:val=""/>
      <w:lvlJc w:val="left"/>
    </w:lvl>
    <w:lvl w:ilvl="6" w:tplc="6BBA58CA">
      <w:numFmt w:val="decimal"/>
      <w:lvlText w:val=""/>
      <w:lvlJc w:val="left"/>
    </w:lvl>
    <w:lvl w:ilvl="7" w:tplc="9F46B97C">
      <w:numFmt w:val="decimal"/>
      <w:lvlText w:val=""/>
      <w:lvlJc w:val="left"/>
    </w:lvl>
    <w:lvl w:ilvl="8" w:tplc="456A6EA2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9F"/>
    <w:rsid w:val="00033B9F"/>
    <w:rsid w:val="007E4133"/>
    <w:rsid w:val="00BE016D"/>
    <w:rsid w:val="00E1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A89F2"/>
  <w15:chartTrackingRefBased/>
  <w15:docId w15:val="{87B919C4-EC35-426F-9B17-8BE97A60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A2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2370</Words>
  <Characters>13512</Characters>
  <Application>Microsoft Office Word</Application>
  <DocSecurity>0</DocSecurity>
  <Lines>112</Lines>
  <Paragraphs>31</Paragraphs>
  <ScaleCrop>false</ScaleCrop>
  <Company/>
  <LinksUpToDate>false</LinksUpToDate>
  <CharactersWithSpaces>15851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4</cp:revision>
  <dcterms:created xsi:type="dcterms:W3CDTF">2020-12-22T12:32:00Z</dcterms:created>
  <dcterms:modified xsi:type="dcterms:W3CDTF">2020-12-22T12:46:00Z</dcterms:modified>
</cp:coreProperties>
</file>