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5EC" w:rsidRPr="00B5280A" w:rsidRDefault="001E25EC" w:rsidP="001E25EC">
      <w:pPr>
        <w:pStyle w:val="Heading2"/>
        <w:spacing w:before="0" w:after="0" w:line="240" w:lineRule="auto"/>
        <w:jc w:val="center"/>
        <w:rPr>
          <w:rFonts w:ascii="Times New Roman" w:hAnsi="Times New Roman"/>
          <w:i w:val="0"/>
          <w:sz w:val="22"/>
          <w:szCs w:val="22"/>
          <w:lang w:val="lt-LT"/>
        </w:rPr>
      </w:pPr>
      <w:r w:rsidRPr="00B5280A">
        <w:rPr>
          <w:rFonts w:ascii="Times New Roman" w:hAnsi="Times New Roman"/>
          <w:i w:val="0"/>
          <w:sz w:val="22"/>
          <w:szCs w:val="22"/>
          <w:lang w:val="lt-LT"/>
        </w:rPr>
        <w:t>Pakuotės lapelis:</w:t>
      </w:r>
      <w:r w:rsidRPr="00B5280A">
        <w:rPr>
          <w:rFonts w:ascii="Times New Roman" w:hAnsi="Times New Roman"/>
          <w:bCs w:val="0"/>
          <w:i w:val="0"/>
          <w:iCs w:val="0"/>
          <w:sz w:val="22"/>
          <w:szCs w:val="22"/>
          <w:lang w:val="lt-LT"/>
        </w:rPr>
        <w:t xml:space="preserve"> </w:t>
      </w:r>
      <w:r w:rsidRPr="00B5280A">
        <w:rPr>
          <w:rFonts w:ascii="Times New Roman" w:hAnsi="Times New Roman"/>
          <w:i w:val="0"/>
          <w:sz w:val="22"/>
          <w:szCs w:val="22"/>
          <w:lang w:val="lt-LT"/>
        </w:rPr>
        <w:t>informacija vartotojui</w:t>
      </w:r>
    </w:p>
    <w:p w:rsidR="001E25EC" w:rsidRPr="00B5280A" w:rsidRDefault="001E25EC" w:rsidP="001E25EC">
      <w:pPr>
        <w:rPr>
          <w:lang w:val="lt-LT" w:eastAsia="x-none"/>
        </w:rPr>
      </w:pPr>
    </w:p>
    <w:p w:rsidR="001E25EC" w:rsidRPr="00B5280A" w:rsidRDefault="001E25EC" w:rsidP="001E25EC">
      <w:pPr>
        <w:jc w:val="center"/>
        <w:rPr>
          <w:b/>
          <w:lang w:val="lt-LT"/>
        </w:rPr>
      </w:pPr>
      <w:r>
        <w:rPr>
          <w:b/>
          <w:lang w:val="lt-LT"/>
        </w:rPr>
        <w:t>ViliDin</w:t>
      </w:r>
      <w:r w:rsidRPr="00B5280A">
        <w:rPr>
          <w:b/>
          <w:lang w:val="lt-LT"/>
        </w:rPr>
        <w:t xml:space="preserve"> 50 000 TV minkštosios kapsulės</w:t>
      </w:r>
    </w:p>
    <w:p w:rsidR="001E25EC" w:rsidRPr="00B5280A" w:rsidRDefault="001E25EC" w:rsidP="001E25EC">
      <w:pPr>
        <w:numPr>
          <w:ilvl w:val="12"/>
          <w:numId w:val="0"/>
        </w:numPr>
        <w:spacing w:line="240" w:lineRule="auto"/>
        <w:jc w:val="center"/>
        <w:rPr>
          <w:lang w:val="lt-LT"/>
        </w:rPr>
      </w:pPr>
      <w:r w:rsidRPr="00B5280A">
        <w:rPr>
          <w:lang w:val="lt-LT"/>
        </w:rPr>
        <w:t>Kolekalciferolis (vitaminas D)</w:t>
      </w:r>
    </w:p>
    <w:p w:rsidR="001E25EC" w:rsidRPr="00B5280A" w:rsidRDefault="001E25EC" w:rsidP="001E25EC">
      <w:pPr>
        <w:numPr>
          <w:ilvl w:val="12"/>
          <w:numId w:val="0"/>
        </w:numPr>
        <w:spacing w:line="240" w:lineRule="auto"/>
        <w:jc w:val="center"/>
        <w:rPr>
          <w:lang w:val="lt-LT"/>
        </w:rPr>
      </w:pPr>
    </w:p>
    <w:p w:rsidR="001E25EC" w:rsidRPr="00B5280A" w:rsidRDefault="001E25EC" w:rsidP="001E25EC">
      <w:pPr>
        <w:suppressAutoHyphens/>
        <w:spacing w:line="240" w:lineRule="auto"/>
        <w:rPr>
          <w:lang w:val="lt-LT"/>
        </w:rPr>
      </w:pPr>
      <w:r w:rsidRPr="00B5280A">
        <w:rPr>
          <w:b/>
          <w:lang w:val="lt-LT"/>
        </w:rPr>
        <w:t>Atidžiai perskaitykite visą šį lapelį, prieš pradėdami vartoti vaistą, nes jame pateikiama Jums svarbi informacija.</w:t>
      </w:r>
    </w:p>
    <w:p w:rsidR="001E25EC" w:rsidRDefault="001E25EC" w:rsidP="001E25EC">
      <w:pPr>
        <w:numPr>
          <w:ilvl w:val="0"/>
          <w:numId w:val="1"/>
        </w:numPr>
        <w:spacing w:after="0" w:line="240" w:lineRule="auto"/>
        <w:ind w:left="567" w:hanging="567"/>
        <w:rPr>
          <w:lang w:val="lt-LT"/>
        </w:rPr>
      </w:pPr>
      <w:r w:rsidRPr="00B5280A">
        <w:rPr>
          <w:lang w:val="lt-LT"/>
        </w:rPr>
        <w:t>Neišmeskite šio lapelio, nes vėl gali prireikti jį perskaityti.</w:t>
      </w:r>
    </w:p>
    <w:p w:rsidR="001E25EC" w:rsidRPr="00B5280A" w:rsidRDefault="001E25EC" w:rsidP="001E25EC">
      <w:pPr>
        <w:numPr>
          <w:ilvl w:val="0"/>
          <w:numId w:val="1"/>
        </w:numPr>
        <w:spacing w:after="0" w:line="240" w:lineRule="auto"/>
        <w:ind w:left="567" w:hanging="567"/>
        <w:rPr>
          <w:lang w:val="lt-LT"/>
        </w:rPr>
      </w:pPr>
      <w:r w:rsidRPr="00B5280A">
        <w:rPr>
          <w:lang w:val="lt-LT"/>
        </w:rPr>
        <w:t>Jeigu kiltų daugiau klausimų, kreipkitės į gydytoją arba vaistininką.</w:t>
      </w:r>
    </w:p>
    <w:p w:rsidR="001E25EC" w:rsidRPr="00B5280A" w:rsidRDefault="001E25EC" w:rsidP="001E25EC">
      <w:pPr>
        <w:spacing w:line="240" w:lineRule="auto"/>
        <w:ind w:left="567" w:hanging="567"/>
        <w:rPr>
          <w:lang w:val="lt-LT"/>
        </w:rPr>
      </w:pPr>
      <w:r w:rsidRPr="00B5280A">
        <w:rPr>
          <w:lang w:val="lt-LT"/>
        </w:rPr>
        <w:t>-</w:t>
      </w:r>
      <w:r w:rsidRPr="00B5280A">
        <w:rPr>
          <w:lang w:val="lt-LT"/>
        </w:rPr>
        <w:tab/>
        <w:t>Šis vaistas skirtas tik Jums, todėl kitiems žmonėms jo duoti negalima. Vaistas gali jiems pakenkti (net tiems, kurių ligos požymiai yra tokie patys kaip Jūsų).</w:t>
      </w:r>
    </w:p>
    <w:p w:rsidR="001E25EC" w:rsidRPr="00B5280A" w:rsidRDefault="001E25EC" w:rsidP="001E25EC">
      <w:pPr>
        <w:spacing w:line="240" w:lineRule="auto"/>
        <w:ind w:left="567" w:hanging="567"/>
        <w:rPr>
          <w:lang w:val="lt-LT"/>
        </w:rPr>
      </w:pPr>
      <w:r w:rsidRPr="00B5280A">
        <w:rPr>
          <w:lang w:val="lt-LT"/>
        </w:rPr>
        <w:t>-</w:t>
      </w:r>
      <w:r w:rsidRPr="00B5280A">
        <w:rPr>
          <w:lang w:val="lt-LT"/>
        </w:rPr>
        <w:tab/>
        <w:t>Jeigu pasireiškė šalutinis poveikis (net jeigu jis šiame lapelyje nenurodytas), kreipkitės į gydytoją arba vaistininką. Žr. 4 skyrių.</w:t>
      </w:r>
    </w:p>
    <w:p w:rsidR="001E25EC" w:rsidRPr="00B5280A" w:rsidRDefault="001E25EC" w:rsidP="001E25EC">
      <w:pPr>
        <w:spacing w:line="240" w:lineRule="auto"/>
        <w:ind w:right="-2"/>
        <w:rPr>
          <w:lang w:val="lt-LT"/>
        </w:rPr>
      </w:pPr>
    </w:p>
    <w:p w:rsidR="001E25EC" w:rsidRPr="00B5280A" w:rsidRDefault="001E25EC" w:rsidP="001E25EC">
      <w:pPr>
        <w:pStyle w:val="Heading4"/>
        <w:rPr>
          <w:rFonts w:ascii="Times New Roman" w:hAnsi="Times New Roman"/>
          <w:sz w:val="22"/>
          <w:szCs w:val="22"/>
          <w:lang w:val="lt-LT"/>
        </w:rPr>
      </w:pPr>
      <w:r w:rsidRPr="00B5280A">
        <w:rPr>
          <w:rFonts w:ascii="Times New Roman" w:hAnsi="Times New Roman"/>
          <w:sz w:val="22"/>
          <w:szCs w:val="22"/>
          <w:lang w:val="lt-LT"/>
        </w:rPr>
        <w:t>Apie ką rašoma šiame lapelyje?</w:t>
      </w:r>
    </w:p>
    <w:p w:rsidR="001E25EC" w:rsidRPr="00B5280A" w:rsidRDefault="001E25EC" w:rsidP="001E25EC">
      <w:pPr>
        <w:numPr>
          <w:ilvl w:val="12"/>
          <w:numId w:val="0"/>
        </w:numPr>
        <w:spacing w:line="240" w:lineRule="auto"/>
        <w:ind w:left="284" w:right="-2"/>
        <w:rPr>
          <w:lang w:val="lt-LT"/>
        </w:rPr>
      </w:pPr>
    </w:p>
    <w:p w:rsidR="001E25EC" w:rsidRDefault="001E25EC" w:rsidP="001E25EC">
      <w:pPr>
        <w:numPr>
          <w:ilvl w:val="12"/>
          <w:numId w:val="0"/>
        </w:numPr>
        <w:spacing w:line="240" w:lineRule="auto"/>
        <w:ind w:left="567" w:right="-2" w:hanging="567"/>
        <w:rPr>
          <w:lang w:val="lt-LT"/>
        </w:rPr>
      </w:pPr>
      <w:r w:rsidRPr="00B5280A">
        <w:rPr>
          <w:lang w:val="lt-LT"/>
        </w:rPr>
        <w:t>1.</w:t>
      </w:r>
      <w:r w:rsidRPr="00B5280A">
        <w:rPr>
          <w:lang w:val="lt-LT"/>
        </w:rPr>
        <w:tab/>
        <w:t xml:space="preserve">Kas yra </w:t>
      </w:r>
      <w:r>
        <w:rPr>
          <w:lang w:val="lt-LT"/>
        </w:rPr>
        <w:t>ViliDin</w:t>
      </w:r>
      <w:r w:rsidRPr="00B5280A">
        <w:rPr>
          <w:lang w:val="lt-LT"/>
        </w:rPr>
        <w:t xml:space="preserve"> ir kam jis vartojamas</w:t>
      </w:r>
    </w:p>
    <w:p w:rsidR="001E25EC" w:rsidRDefault="001E25EC" w:rsidP="001E25EC">
      <w:pPr>
        <w:numPr>
          <w:ilvl w:val="12"/>
          <w:numId w:val="0"/>
        </w:numPr>
        <w:spacing w:line="240" w:lineRule="auto"/>
        <w:ind w:left="567" w:right="-2" w:hanging="567"/>
        <w:rPr>
          <w:lang w:val="lt-LT"/>
        </w:rPr>
      </w:pPr>
      <w:r w:rsidRPr="00B5280A">
        <w:rPr>
          <w:lang w:val="lt-LT"/>
        </w:rPr>
        <w:t>2.</w:t>
      </w:r>
      <w:r w:rsidRPr="00B5280A">
        <w:rPr>
          <w:lang w:val="lt-LT"/>
        </w:rPr>
        <w:tab/>
        <w:t xml:space="preserve">Kas žinotina prieš vartojant </w:t>
      </w:r>
      <w:r>
        <w:rPr>
          <w:lang w:val="lt-LT"/>
        </w:rPr>
        <w:t>ViliDin</w:t>
      </w:r>
    </w:p>
    <w:p w:rsidR="001E25EC" w:rsidRDefault="001E25EC" w:rsidP="001E25EC">
      <w:pPr>
        <w:numPr>
          <w:ilvl w:val="12"/>
          <w:numId w:val="0"/>
        </w:numPr>
        <w:spacing w:line="240" w:lineRule="auto"/>
        <w:ind w:left="567" w:right="-2" w:hanging="567"/>
        <w:rPr>
          <w:lang w:val="lt-LT"/>
        </w:rPr>
      </w:pPr>
      <w:r w:rsidRPr="00B5280A">
        <w:rPr>
          <w:lang w:val="lt-LT"/>
        </w:rPr>
        <w:t>3.</w:t>
      </w:r>
      <w:r w:rsidRPr="00B5280A">
        <w:rPr>
          <w:lang w:val="lt-LT"/>
        </w:rPr>
        <w:tab/>
        <w:t xml:space="preserve">Kaip vartoti </w:t>
      </w:r>
      <w:r>
        <w:rPr>
          <w:lang w:val="lt-LT"/>
        </w:rPr>
        <w:t>ViliDin</w:t>
      </w:r>
    </w:p>
    <w:p w:rsidR="001E25EC" w:rsidRDefault="001E25EC" w:rsidP="001E25EC">
      <w:pPr>
        <w:numPr>
          <w:ilvl w:val="12"/>
          <w:numId w:val="0"/>
        </w:numPr>
        <w:spacing w:line="240" w:lineRule="auto"/>
        <w:ind w:left="567" w:right="-2" w:hanging="567"/>
        <w:rPr>
          <w:lang w:val="lt-LT"/>
        </w:rPr>
      </w:pPr>
      <w:r w:rsidRPr="00B5280A">
        <w:rPr>
          <w:lang w:val="lt-LT"/>
        </w:rPr>
        <w:t>4.</w:t>
      </w:r>
      <w:r w:rsidRPr="00B5280A">
        <w:rPr>
          <w:lang w:val="lt-LT"/>
        </w:rPr>
        <w:tab/>
        <w:t>Galimas šalutinis poveikis</w:t>
      </w:r>
    </w:p>
    <w:p w:rsidR="001E25EC" w:rsidRPr="00B5280A" w:rsidRDefault="001E25EC" w:rsidP="001E25EC">
      <w:pPr>
        <w:numPr>
          <w:ilvl w:val="12"/>
          <w:numId w:val="0"/>
        </w:numPr>
        <w:spacing w:line="240" w:lineRule="auto"/>
        <w:ind w:left="567" w:right="-2" w:hanging="567"/>
        <w:rPr>
          <w:lang w:val="lt-LT"/>
        </w:rPr>
      </w:pPr>
      <w:r w:rsidRPr="00B5280A">
        <w:rPr>
          <w:lang w:val="lt-LT"/>
        </w:rPr>
        <w:t>5.</w:t>
      </w:r>
      <w:r w:rsidRPr="00B5280A">
        <w:rPr>
          <w:lang w:val="lt-LT"/>
        </w:rPr>
        <w:tab/>
        <w:t xml:space="preserve">Kaip laikyti </w:t>
      </w:r>
      <w:r>
        <w:rPr>
          <w:lang w:val="lt-LT"/>
        </w:rPr>
        <w:t>ViliDin</w:t>
      </w:r>
    </w:p>
    <w:p w:rsidR="001E25EC" w:rsidRPr="00B5280A" w:rsidRDefault="001E25EC" w:rsidP="001E25EC">
      <w:pPr>
        <w:numPr>
          <w:ilvl w:val="12"/>
          <w:numId w:val="0"/>
        </w:numPr>
        <w:spacing w:line="240" w:lineRule="auto"/>
        <w:ind w:left="567" w:right="-2" w:hanging="567"/>
        <w:rPr>
          <w:lang w:val="lt-LT"/>
        </w:rPr>
      </w:pPr>
      <w:r w:rsidRPr="00B5280A">
        <w:rPr>
          <w:lang w:val="lt-LT"/>
        </w:rPr>
        <w:t>6.</w:t>
      </w:r>
      <w:r w:rsidRPr="00B5280A">
        <w:rPr>
          <w:lang w:val="lt-LT"/>
        </w:rPr>
        <w:tab/>
        <w:t>Pakuotės turinys ir kita informacija</w:t>
      </w:r>
    </w:p>
    <w:p w:rsidR="001E25EC" w:rsidRPr="00B5280A" w:rsidRDefault="001E25EC" w:rsidP="001E25EC">
      <w:pPr>
        <w:numPr>
          <w:ilvl w:val="12"/>
          <w:numId w:val="0"/>
        </w:numPr>
        <w:spacing w:line="240" w:lineRule="auto"/>
        <w:ind w:right="-2"/>
        <w:rPr>
          <w:lang w:val="lt-LT"/>
        </w:rPr>
      </w:pPr>
    </w:p>
    <w:p w:rsidR="001E25EC" w:rsidRPr="00B5280A" w:rsidRDefault="001E25EC" w:rsidP="001E25EC">
      <w:pPr>
        <w:numPr>
          <w:ilvl w:val="12"/>
          <w:numId w:val="0"/>
        </w:numPr>
        <w:spacing w:line="240" w:lineRule="auto"/>
        <w:ind w:right="-2"/>
        <w:rPr>
          <w:lang w:val="lt-LT"/>
        </w:rPr>
      </w:pPr>
    </w:p>
    <w:p w:rsidR="001E25EC" w:rsidRPr="00B5280A" w:rsidRDefault="001E25EC" w:rsidP="001E25EC">
      <w:pPr>
        <w:pStyle w:val="Heading4"/>
        <w:rPr>
          <w:rFonts w:ascii="Times New Roman" w:hAnsi="Times New Roman"/>
          <w:sz w:val="22"/>
          <w:szCs w:val="22"/>
          <w:lang w:val="lt-LT"/>
        </w:rPr>
      </w:pPr>
      <w:r w:rsidRPr="00B5280A">
        <w:rPr>
          <w:rFonts w:ascii="Times New Roman" w:hAnsi="Times New Roman"/>
          <w:sz w:val="22"/>
          <w:szCs w:val="22"/>
          <w:lang w:val="lt-LT"/>
        </w:rPr>
        <w:t>1.</w:t>
      </w:r>
      <w:r w:rsidRPr="00B5280A">
        <w:rPr>
          <w:rFonts w:ascii="Times New Roman" w:hAnsi="Times New Roman"/>
          <w:sz w:val="22"/>
          <w:szCs w:val="22"/>
          <w:lang w:val="lt-LT"/>
        </w:rPr>
        <w:tab/>
        <w:t xml:space="preserve">Kas yra </w:t>
      </w:r>
      <w:r>
        <w:rPr>
          <w:rFonts w:ascii="Times New Roman" w:hAnsi="Times New Roman"/>
          <w:sz w:val="22"/>
          <w:szCs w:val="22"/>
          <w:lang w:val="lt-LT"/>
        </w:rPr>
        <w:t>ViliDin</w:t>
      </w:r>
      <w:r w:rsidRPr="00B5280A">
        <w:rPr>
          <w:rFonts w:ascii="Times New Roman" w:hAnsi="Times New Roman"/>
          <w:sz w:val="22"/>
          <w:szCs w:val="22"/>
          <w:lang w:val="lt-LT"/>
        </w:rPr>
        <w:t xml:space="preserve"> ir kam jis vartojamas</w:t>
      </w:r>
    </w:p>
    <w:p w:rsidR="001E25EC" w:rsidRPr="00B5280A" w:rsidRDefault="001E25EC" w:rsidP="001E25EC">
      <w:pPr>
        <w:numPr>
          <w:ilvl w:val="12"/>
          <w:numId w:val="0"/>
        </w:numPr>
        <w:spacing w:line="240" w:lineRule="auto"/>
        <w:ind w:right="-2"/>
        <w:rPr>
          <w:lang w:val="lt-LT"/>
        </w:rPr>
      </w:pPr>
    </w:p>
    <w:p w:rsidR="001E25EC" w:rsidRPr="00B5280A" w:rsidRDefault="001E25EC" w:rsidP="001E25EC">
      <w:pPr>
        <w:numPr>
          <w:ilvl w:val="12"/>
          <w:numId w:val="0"/>
        </w:numPr>
        <w:spacing w:line="240" w:lineRule="auto"/>
        <w:ind w:right="-2"/>
        <w:rPr>
          <w:lang w:val="lt-LT"/>
        </w:rPr>
      </w:pPr>
      <w:r w:rsidRPr="00B5280A">
        <w:rPr>
          <w:lang w:val="lt-LT"/>
        </w:rPr>
        <w:t xml:space="preserve">Veiklioji </w:t>
      </w:r>
      <w:r>
        <w:rPr>
          <w:lang w:val="lt-LT"/>
        </w:rPr>
        <w:t>ViliDin</w:t>
      </w:r>
      <w:r w:rsidRPr="00B5280A">
        <w:rPr>
          <w:lang w:val="lt-LT"/>
        </w:rPr>
        <w:t xml:space="preserve"> medžiaga yra kolekalciferolis (vitaminas D</w:t>
      </w:r>
      <w:r w:rsidRPr="00B5280A">
        <w:rPr>
          <w:vertAlign w:val="subscript"/>
          <w:lang w:val="lt-LT"/>
        </w:rPr>
        <w:t>3</w:t>
      </w:r>
      <w:r w:rsidRPr="00B5280A">
        <w:rPr>
          <w:lang w:val="lt-LT"/>
        </w:rPr>
        <w:t>).</w:t>
      </w:r>
    </w:p>
    <w:p w:rsidR="001E25EC" w:rsidRPr="00B5280A" w:rsidRDefault="001E25EC" w:rsidP="001E25EC">
      <w:pPr>
        <w:numPr>
          <w:ilvl w:val="12"/>
          <w:numId w:val="0"/>
        </w:numPr>
        <w:spacing w:line="240" w:lineRule="auto"/>
        <w:ind w:right="-2"/>
        <w:rPr>
          <w:lang w:val="lt-LT"/>
        </w:rPr>
      </w:pPr>
    </w:p>
    <w:p w:rsidR="001E25EC" w:rsidRPr="00B5280A" w:rsidRDefault="001E25EC" w:rsidP="001E25EC">
      <w:pPr>
        <w:numPr>
          <w:ilvl w:val="12"/>
          <w:numId w:val="0"/>
        </w:numPr>
        <w:spacing w:line="240" w:lineRule="auto"/>
        <w:ind w:right="-2"/>
        <w:rPr>
          <w:lang w:val="lt-LT"/>
        </w:rPr>
      </w:pPr>
      <w:r w:rsidRPr="00B5280A">
        <w:rPr>
          <w:lang w:val="lt-LT"/>
        </w:rPr>
        <w:t>Vitaminas D padeda organizmui pasisavinti kalcį inkstuose ir žarnyne bei stiprina kaulus.</w:t>
      </w:r>
    </w:p>
    <w:p w:rsidR="001E25EC" w:rsidRPr="00B5280A" w:rsidRDefault="001E25EC" w:rsidP="001E25EC">
      <w:pPr>
        <w:numPr>
          <w:ilvl w:val="12"/>
          <w:numId w:val="0"/>
        </w:numPr>
        <w:spacing w:line="240" w:lineRule="auto"/>
        <w:ind w:right="-2"/>
        <w:rPr>
          <w:lang w:val="lt-LT"/>
        </w:rPr>
      </w:pPr>
    </w:p>
    <w:p w:rsidR="001E25EC" w:rsidRPr="00B5280A" w:rsidRDefault="001E25EC" w:rsidP="001E25EC">
      <w:pPr>
        <w:numPr>
          <w:ilvl w:val="12"/>
          <w:numId w:val="0"/>
        </w:numPr>
        <w:spacing w:line="240" w:lineRule="auto"/>
        <w:ind w:right="-2"/>
        <w:rPr>
          <w:lang w:val="lt-LT"/>
        </w:rPr>
      </w:pPr>
      <w:r>
        <w:rPr>
          <w:lang w:val="lt-LT"/>
        </w:rPr>
        <w:t>ViliDin</w:t>
      </w:r>
      <w:r w:rsidRPr="00B5280A">
        <w:rPr>
          <w:lang w:val="lt-LT"/>
        </w:rPr>
        <w:t xml:space="preserve"> vartojama, jei yra vitamino D trūkumas.</w:t>
      </w:r>
    </w:p>
    <w:p w:rsidR="001E25EC" w:rsidRPr="00B5280A" w:rsidRDefault="001E25EC" w:rsidP="001E25EC">
      <w:pPr>
        <w:numPr>
          <w:ilvl w:val="12"/>
          <w:numId w:val="0"/>
        </w:numPr>
        <w:spacing w:line="240" w:lineRule="auto"/>
        <w:ind w:right="-2"/>
        <w:rPr>
          <w:lang w:val="lt-LT"/>
        </w:rPr>
      </w:pPr>
    </w:p>
    <w:p w:rsidR="001E25EC" w:rsidRPr="00B5280A" w:rsidRDefault="001E25EC" w:rsidP="001E25EC">
      <w:pPr>
        <w:numPr>
          <w:ilvl w:val="12"/>
          <w:numId w:val="0"/>
        </w:numPr>
        <w:spacing w:line="240" w:lineRule="auto"/>
        <w:ind w:right="-2"/>
        <w:rPr>
          <w:lang w:val="lt-LT"/>
        </w:rPr>
      </w:pPr>
    </w:p>
    <w:p w:rsidR="001E25EC" w:rsidRPr="00B5280A" w:rsidRDefault="001E25EC" w:rsidP="001E25EC">
      <w:pPr>
        <w:pStyle w:val="Heading4"/>
        <w:rPr>
          <w:rFonts w:ascii="Times New Roman" w:hAnsi="Times New Roman"/>
          <w:sz w:val="22"/>
          <w:szCs w:val="22"/>
          <w:lang w:val="lt-LT"/>
        </w:rPr>
      </w:pPr>
      <w:r w:rsidRPr="00B5280A">
        <w:rPr>
          <w:rFonts w:ascii="Times New Roman" w:hAnsi="Times New Roman"/>
          <w:sz w:val="22"/>
          <w:szCs w:val="22"/>
          <w:lang w:val="lt-LT"/>
        </w:rPr>
        <w:t>2.</w:t>
      </w:r>
      <w:r w:rsidRPr="00B5280A">
        <w:rPr>
          <w:rFonts w:ascii="Times New Roman" w:hAnsi="Times New Roman"/>
          <w:sz w:val="22"/>
          <w:szCs w:val="22"/>
          <w:lang w:val="lt-LT"/>
        </w:rPr>
        <w:tab/>
        <w:t xml:space="preserve">Kas žinotina prieš vartojant </w:t>
      </w:r>
      <w:r>
        <w:rPr>
          <w:rFonts w:ascii="Times New Roman" w:hAnsi="Times New Roman"/>
          <w:sz w:val="22"/>
          <w:szCs w:val="22"/>
          <w:lang w:val="lt-LT"/>
        </w:rPr>
        <w:t>ViliDin</w:t>
      </w:r>
    </w:p>
    <w:p w:rsidR="001E25EC" w:rsidRPr="00B5280A" w:rsidRDefault="001E25EC" w:rsidP="001E25EC">
      <w:pPr>
        <w:numPr>
          <w:ilvl w:val="12"/>
          <w:numId w:val="0"/>
        </w:numPr>
        <w:spacing w:line="240" w:lineRule="auto"/>
        <w:ind w:right="-2"/>
        <w:rPr>
          <w:lang w:val="lt-LT"/>
        </w:rPr>
      </w:pPr>
    </w:p>
    <w:p w:rsidR="001E25EC" w:rsidRPr="00B5280A" w:rsidRDefault="001E25EC" w:rsidP="001E25EC">
      <w:pPr>
        <w:pStyle w:val="Heading4"/>
        <w:rPr>
          <w:rFonts w:ascii="Times New Roman" w:hAnsi="Times New Roman"/>
          <w:sz w:val="22"/>
          <w:szCs w:val="22"/>
          <w:lang w:val="lt-LT"/>
        </w:rPr>
      </w:pPr>
      <w:r>
        <w:rPr>
          <w:rFonts w:ascii="Times New Roman" w:hAnsi="Times New Roman"/>
          <w:sz w:val="22"/>
          <w:szCs w:val="22"/>
          <w:lang w:val="lt-LT"/>
        </w:rPr>
        <w:t>ViliDin</w:t>
      </w:r>
      <w:r w:rsidRPr="00B5280A">
        <w:rPr>
          <w:rFonts w:ascii="Times New Roman" w:hAnsi="Times New Roman"/>
          <w:sz w:val="22"/>
          <w:szCs w:val="22"/>
          <w:lang w:val="lt-LT"/>
        </w:rPr>
        <w:t xml:space="preserve"> vartoti negalima:</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jeigu yra alergija vitaminui D arba bet kuriai pagalbinei šio vaisto medžiagai (jos išvardytos 6 skyriuje);</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jeigu kraujyje yra didelis kalcio kiekis (hiperkalcemija);</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jeigu šlapime yra didelis kalcio kiekis (hiperkalciurija);</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jeigu sergate inkstų akmenlige;</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jeigu yra sunkus inkstų funkcijos sutrikimas;</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jeigu yra vitamino D hipervitaminozė (didelis vitamino D kiekis kraujyje);</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jeigu yra nenormali parathormono apykaita (pseudohipoparatiroidizmas);</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jeigu esate nėščia;</w:t>
      </w:r>
    </w:p>
    <w:p w:rsidR="001E25EC" w:rsidRPr="00B5280A" w:rsidRDefault="001E25EC" w:rsidP="001E25EC">
      <w:pPr>
        <w:numPr>
          <w:ilvl w:val="12"/>
          <w:numId w:val="0"/>
        </w:numPr>
        <w:spacing w:line="240" w:lineRule="auto"/>
        <w:ind w:right="-2"/>
        <w:rPr>
          <w:lang w:val="lt-LT"/>
        </w:rPr>
      </w:pPr>
    </w:p>
    <w:p w:rsidR="001E25EC" w:rsidRDefault="001E25EC" w:rsidP="001E25EC">
      <w:pPr>
        <w:pStyle w:val="Heading4"/>
        <w:rPr>
          <w:rFonts w:ascii="Times New Roman" w:hAnsi="Times New Roman"/>
          <w:sz w:val="22"/>
          <w:szCs w:val="22"/>
          <w:lang w:val="lt-LT"/>
        </w:rPr>
      </w:pPr>
      <w:r w:rsidRPr="00B5280A">
        <w:rPr>
          <w:rFonts w:ascii="Times New Roman" w:hAnsi="Times New Roman"/>
          <w:sz w:val="22"/>
          <w:szCs w:val="22"/>
          <w:lang w:val="lt-LT"/>
        </w:rPr>
        <w:t>Įspėjimai ir atsargumo priemonės</w:t>
      </w:r>
    </w:p>
    <w:p w:rsidR="001E25EC" w:rsidRPr="00B5280A" w:rsidRDefault="001E25EC" w:rsidP="001E25EC">
      <w:pPr>
        <w:numPr>
          <w:ilvl w:val="12"/>
          <w:numId w:val="0"/>
        </w:numPr>
        <w:spacing w:line="240" w:lineRule="auto"/>
        <w:ind w:right="-2"/>
        <w:rPr>
          <w:lang w:val="lt-LT"/>
        </w:rPr>
      </w:pPr>
      <w:r w:rsidRPr="00B5280A">
        <w:rPr>
          <w:lang w:val="lt-LT"/>
        </w:rPr>
        <w:t xml:space="preserve">Pasitarkite su gydytoju arba vaistininku arba vaistininku, prieš pradėdami vartoti </w:t>
      </w:r>
      <w:r>
        <w:rPr>
          <w:lang w:val="lt-LT"/>
        </w:rPr>
        <w:t>ViliDin</w:t>
      </w:r>
      <w:r w:rsidRPr="00B5280A">
        <w:rPr>
          <w:lang w:val="lt-LT"/>
        </w:rPr>
        <w:t>, jeigu:</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sergate inkstų liga. Gydytojas gali pageidauti matuoti kalcio kiekį Jūsų kraujyje ar šlapime;</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vartojate tam tikrų vaistų širdies ligoms gydyti (tokių kaip digoksinas);</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sergate sarkoidoze (imuninės sistemos sutrikimu, dėl kurio organizme gali padidėti vitamino D kiekis);</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vartojate vaistų, kurių sudėtyje yra vitamino D, arba valgote maisto ar pieno produktų, kuriuose yra daug vitamino D;</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vartojate maisto papildų, kurių sudėtyje yra kalcio.</w:t>
      </w:r>
    </w:p>
    <w:p w:rsidR="001E25EC" w:rsidRPr="00B5280A" w:rsidRDefault="001E25EC" w:rsidP="001E25EC">
      <w:pPr>
        <w:numPr>
          <w:ilvl w:val="12"/>
          <w:numId w:val="0"/>
        </w:numPr>
        <w:spacing w:line="240" w:lineRule="auto"/>
        <w:ind w:right="-2"/>
        <w:rPr>
          <w:lang w:val="lt-LT"/>
        </w:rPr>
      </w:pPr>
    </w:p>
    <w:p w:rsidR="001E25EC" w:rsidRPr="00B5280A" w:rsidRDefault="001E25EC" w:rsidP="001E25EC">
      <w:pPr>
        <w:pStyle w:val="Heading4"/>
        <w:rPr>
          <w:rFonts w:ascii="Times New Roman" w:hAnsi="Times New Roman"/>
          <w:sz w:val="22"/>
          <w:szCs w:val="22"/>
          <w:lang w:val="lt-LT"/>
        </w:rPr>
      </w:pPr>
      <w:r w:rsidRPr="00B5280A">
        <w:rPr>
          <w:rFonts w:ascii="Times New Roman" w:hAnsi="Times New Roman"/>
          <w:sz w:val="22"/>
          <w:szCs w:val="22"/>
          <w:lang w:val="lt-LT"/>
        </w:rPr>
        <w:t>Vaikams ir paaugliams</w:t>
      </w:r>
    </w:p>
    <w:p w:rsidR="001E25EC" w:rsidRPr="00B5280A" w:rsidRDefault="001E25EC" w:rsidP="001E25EC">
      <w:pPr>
        <w:spacing w:line="240" w:lineRule="auto"/>
        <w:rPr>
          <w:lang w:val="lt-LT"/>
        </w:rPr>
      </w:pPr>
      <w:r w:rsidRPr="00B5280A">
        <w:rPr>
          <w:lang w:val="lt-LT"/>
        </w:rPr>
        <w:t>Vaikams ir paaugliams (jaunesniems kaip 18 metų) šio vaisto vartoti nerekomenduojama.</w:t>
      </w:r>
    </w:p>
    <w:p w:rsidR="001E25EC" w:rsidRPr="00B5280A" w:rsidRDefault="001E25EC" w:rsidP="001E25EC">
      <w:pPr>
        <w:numPr>
          <w:ilvl w:val="12"/>
          <w:numId w:val="0"/>
        </w:numPr>
        <w:spacing w:line="240" w:lineRule="auto"/>
        <w:rPr>
          <w:b/>
          <w:lang w:val="lt-LT"/>
        </w:rPr>
      </w:pPr>
    </w:p>
    <w:p w:rsidR="001E25EC" w:rsidRPr="00B5280A" w:rsidRDefault="001E25EC" w:rsidP="001E25EC">
      <w:pPr>
        <w:pStyle w:val="Heading4"/>
        <w:rPr>
          <w:rFonts w:ascii="Times New Roman" w:hAnsi="Times New Roman"/>
          <w:sz w:val="22"/>
          <w:szCs w:val="22"/>
          <w:lang w:val="lt-LT"/>
        </w:rPr>
      </w:pPr>
      <w:r w:rsidRPr="00B5280A">
        <w:rPr>
          <w:rFonts w:ascii="Times New Roman" w:hAnsi="Times New Roman"/>
          <w:sz w:val="22"/>
          <w:szCs w:val="22"/>
          <w:lang w:val="lt-LT"/>
        </w:rPr>
        <w:t xml:space="preserve">Kiti vaistai ir </w:t>
      </w:r>
      <w:r>
        <w:rPr>
          <w:rFonts w:ascii="Times New Roman" w:hAnsi="Times New Roman"/>
          <w:sz w:val="22"/>
          <w:szCs w:val="22"/>
          <w:lang w:val="lt-LT"/>
        </w:rPr>
        <w:t>ViliDin</w:t>
      </w:r>
    </w:p>
    <w:p w:rsidR="001E25EC" w:rsidRPr="00B5280A" w:rsidRDefault="001E25EC" w:rsidP="001E25EC">
      <w:pPr>
        <w:numPr>
          <w:ilvl w:val="12"/>
          <w:numId w:val="0"/>
        </w:numPr>
        <w:spacing w:line="240" w:lineRule="auto"/>
        <w:rPr>
          <w:lang w:val="lt-LT"/>
        </w:rPr>
      </w:pPr>
      <w:r w:rsidRPr="00B5280A">
        <w:rPr>
          <w:lang w:val="lt-LT"/>
        </w:rPr>
        <w:t>Jeigu vartojate ar neseniai vartojote kitų vaistų arba dėl to nesate tikri, apie tai pasakykite gydytojui arba vaistininkui. Ypač svarbu pasakyti, jeigu vartojate:</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vaistų epilepsijai gydyti (pvz., fenitoino);</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barbitūratų (vaistų, kurie vartojami kaip migdomieji vaistai, taip pat gydyti epilepsijai arba anestezijai sukelti);</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šlapimo išsiskyrimą skatinančių vaistų;</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gliukokortikoidų (vartojamų reumatoidiniam artritui, astmai, alergijai gydyti);</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vaistų širdies ligoms gydyti (tokių kaip digoksinas);</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vaistų, kurie mažina cholesterolio kiekį kraujyje (pvz., cholestiramino, cholestipolio);</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orlistato (vaistų kūno svoriui mažinti);</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kai kurių vidurių laisvinamųjų vaistų (pvz., skysto parafino);</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aktinomicino (vartojamas kai kurioms vėžio formoms gydyti);</w:t>
      </w:r>
    </w:p>
    <w:p w:rsidR="001E25EC" w:rsidRPr="00B5280A" w:rsidRDefault="001E25EC" w:rsidP="001E25EC">
      <w:pPr>
        <w:numPr>
          <w:ilvl w:val="0"/>
          <w:numId w:val="4"/>
        </w:numPr>
        <w:tabs>
          <w:tab w:val="left" w:pos="567"/>
        </w:tabs>
        <w:spacing w:after="0" w:line="240" w:lineRule="auto"/>
        <w:ind w:left="567" w:hanging="567"/>
        <w:rPr>
          <w:lang w:val="lt-LT"/>
        </w:rPr>
      </w:pPr>
      <w:r w:rsidRPr="00B5280A">
        <w:rPr>
          <w:lang w:val="lt-LT"/>
        </w:rPr>
        <w:t>kai kurių vaistų grybelių sukeltoms ligoms gydyti (pvz., ketokonazolo).</w:t>
      </w:r>
    </w:p>
    <w:p w:rsidR="001E25EC" w:rsidRPr="00B5280A" w:rsidRDefault="001E25EC" w:rsidP="001E25EC">
      <w:pPr>
        <w:spacing w:line="240" w:lineRule="auto"/>
        <w:ind w:right="-2"/>
        <w:rPr>
          <w:lang w:val="lt-LT"/>
        </w:rPr>
      </w:pPr>
    </w:p>
    <w:p w:rsidR="001E25EC" w:rsidRPr="00B5280A" w:rsidRDefault="001E25EC" w:rsidP="001E25EC">
      <w:pPr>
        <w:spacing w:line="240" w:lineRule="auto"/>
        <w:ind w:right="-2"/>
        <w:rPr>
          <w:lang w:val="lt-LT"/>
        </w:rPr>
      </w:pPr>
      <w:r w:rsidRPr="00B5280A">
        <w:rPr>
          <w:lang w:val="lt-LT"/>
        </w:rPr>
        <w:t>Jeigu abejojate, ar vartojate tokių vaistų, apie tai pasakykite savo gydytojui.</w:t>
      </w:r>
    </w:p>
    <w:p w:rsidR="001E25EC" w:rsidRPr="00B5280A" w:rsidRDefault="001E25EC" w:rsidP="001E25EC">
      <w:pPr>
        <w:numPr>
          <w:ilvl w:val="12"/>
          <w:numId w:val="0"/>
        </w:numPr>
        <w:spacing w:line="240" w:lineRule="auto"/>
        <w:ind w:right="-2"/>
        <w:rPr>
          <w:lang w:val="lt-LT"/>
        </w:rPr>
      </w:pPr>
    </w:p>
    <w:p w:rsidR="001E25EC" w:rsidRPr="00B5280A" w:rsidRDefault="001E25EC" w:rsidP="001E25EC">
      <w:pPr>
        <w:pStyle w:val="Heading4"/>
        <w:rPr>
          <w:rFonts w:ascii="Times New Roman" w:hAnsi="Times New Roman"/>
          <w:sz w:val="22"/>
          <w:szCs w:val="22"/>
          <w:lang w:val="lt-LT"/>
        </w:rPr>
      </w:pPr>
      <w:r w:rsidRPr="00B5280A">
        <w:rPr>
          <w:rFonts w:ascii="Times New Roman" w:hAnsi="Times New Roman"/>
          <w:sz w:val="22"/>
          <w:szCs w:val="22"/>
          <w:lang w:val="lt-LT"/>
        </w:rPr>
        <w:t>Nėštumas ir žindymo laikotarpis</w:t>
      </w:r>
    </w:p>
    <w:p w:rsidR="001E25EC" w:rsidRPr="00B5280A" w:rsidRDefault="001E25EC" w:rsidP="001E25EC">
      <w:pPr>
        <w:numPr>
          <w:ilvl w:val="12"/>
          <w:numId w:val="0"/>
        </w:numPr>
        <w:spacing w:line="240" w:lineRule="auto"/>
        <w:ind w:right="-2"/>
        <w:outlineLvl w:val="0"/>
        <w:rPr>
          <w:lang w:val="lt-LT"/>
        </w:rPr>
      </w:pPr>
      <w:r w:rsidRPr="00B5280A">
        <w:rPr>
          <w:lang w:val="lt-LT"/>
        </w:rPr>
        <w:t>Jeigu esate nėščia, žindote kūdikį, manote, kad galbūt esate nėščia arba planuojate pastoti, tai prieš vartodama šį vaistą, pasitarkite su gydytoju arba vaistininku.</w:t>
      </w:r>
    </w:p>
    <w:p w:rsidR="001E25EC" w:rsidRPr="00B5280A" w:rsidRDefault="001E25EC" w:rsidP="001E25EC">
      <w:pPr>
        <w:numPr>
          <w:ilvl w:val="12"/>
          <w:numId w:val="0"/>
        </w:numPr>
        <w:spacing w:line="240" w:lineRule="auto"/>
        <w:rPr>
          <w:lang w:val="lt-LT"/>
        </w:rPr>
      </w:pPr>
      <w:r>
        <w:rPr>
          <w:lang w:val="lt-LT"/>
        </w:rPr>
        <w:t>ViliDin</w:t>
      </w:r>
      <w:r w:rsidRPr="00B5280A">
        <w:rPr>
          <w:lang w:val="lt-LT"/>
        </w:rPr>
        <w:t xml:space="preserve"> nėštumo laikotarpiu vartoti negalima.</w:t>
      </w:r>
    </w:p>
    <w:p w:rsidR="001E25EC" w:rsidRPr="00B5280A" w:rsidRDefault="001E25EC" w:rsidP="001E25EC">
      <w:pPr>
        <w:numPr>
          <w:ilvl w:val="12"/>
          <w:numId w:val="0"/>
        </w:numPr>
        <w:spacing w:line="240" w:lineRule="auto"/>
        <w:rPr>
          <w:lang w:val="lt-LT"/>
        </w:rPr>
      </w:pPr>
    </w:p>
    <w:p w:rsidR="001E25EC" w:rsidRPr="00B5280A" w:rsidRDefault="001E25EC" w:rsidP="001E25EC">
      <w:pPr>
        <w:pStyle w:val="Heading4"/>
        <w:rPr>
          <w:rFonts w:ascii="Times New Roman" w:hAnsi="Times New Roman"/>
          <w:sz w:val="22"/>
          <w:szCs w:val="22"/>
          <w:lang w:val="lt-LT"/>
        </w:rPr>
      </w:pPr>
      <w:r w:rsidRPr="00B5280A">
        <w:rPr>
          <w:rFonts w:ascii="Times New Roman" w:hAnsi="Times New Roman"/>
          <w:sz w:val="22"/>
          <w:szCs w:val="22"/>
          <w:lang w:val="lt-LT"/>
        </w:rPr>
        <w:t>Vairavimas ir mechanizmų valdymas</w:t>
      </w:r>
    </w:p>
    <w:p w:rsidR="001E25EC" w:rsidRPr="00B5280A" w:rsidRDefault="001E25EC" w:rsidP="001E25EC">
      <w:pPr>
        <w:numPr>
          <w:ilvl w:val="12"/>
          <w:numId w:val="0"/>
        </w:numPr>
        <w:spacing w:line="240" w:lineRule="auto"/>
        <w:ind w:right="-2"/>
        <w:rPr>
          <w:lang w:val="lt-LT"/>
        </w:rPr>
      </w:pPr>
      <w:r w:rsidRPr="00B5280A">
        <w:rPr>
          <w:lang w:val="lt-LT"/>
        </w:rPr>
        <w:t>Poveikis gebėjimui vairuoti ir valdyti mechanizmus nėra tikėtinas.</w:t>
      </w:r>
    </w:p>
    <w:p w:rsidR="001E25EC" w:rsidRPr="00B5280A" w:rsidRDefault="001E25EC" w:rsidP="001E25EC">
      <w:pPr>
        <w:numPr>
          <w:ilvl w:val="12"/>
          <w:numId w:val="0"/>
        </w:numPr>
        <w:spacing w:line="240" w:lineRule="auto"/>
        <w:ind w:right="-2"/>
        <w:rPr>
          <w:lang w:val="lt-LT"/>
        </w:rPr>
      </w:pPr>
    </w:p>
    <w:p w:rsidR="001E25EC" w:rsidRPr="00B5280A" w:rsidRDefault="001E25EC" w:rsidP="001E25EC">
      <w:pPr>
        <w:pStyle w:val="Heading4"/>
        <w:rPr>
          <w:rFonts w:ascii="Times New Roman" w:hAnsi="Times New Roman"/>
          <w:sz w:val="22"/>
          <w:szCs w:val="22"/>
          <w:lang w:val="lt-LT"/>
        </w:rPr>
      </w:pPr>
      <w:r>
        <w:rPr>
          <w:rFonts w:ascii="Times New Roman" w:hAnsi="Times New Roman"/>
          <w:sz w:val="22"/>
          <w:szCs w:val="22"/>
          <w:lang w:val="lt-LT"/>
        </w:rPr>
        <w:t>ViliDin</w:t>
      </w:r>
      <w:r w:rsidRPr="00B5280A">
        <w:rPr>
          <w:rFonts w:ascii="Times New Roman" w:hAnsi="Times New Roman"/>
          <w:sz w:val="22"/>
          <w:szCs w:val="22"/>
          <w:lang w:val="lt-LT"/>
        </w:rPr>
        <w:t xml:space="preserve"> sudėtyje yra sorbitolio (E 420)</w:t>
      </w:r>
    </w:p>
    <w:p w:rsidR="001E25EC" w:rsidRPr="00B5280A" w:rsidRDefault="001E25EC" w:rsidP="001E25EC">
      <w:pPr>
        <w:numPr>
          <w:ilvl w:val="12"/>
          <w:numId w:val="0"/>
        </w:numPr>
        <w:spacing w:line="240" w:lineRule="auto"/>
        <w:ind w:right="-2"/>
        <w:rPr>
          <w:lang w:val="lt-LT"/>
        </w:rPr>
      </w:pPr>
      <w:r w:rsidRPr="00B5280A">
        <w:rPr>
          <w:lang w:val="lt-LT"/>
        </w:rPr>
        <w:t>Kiekvienoje šio vaisto kapsulėje yra 16,5 mg sorbitolio, tai atitinka 16,5 mg/200 mg.</w:t>
      </w:r>
    </w:p>
    <w:p w:rsidR="001E25EC" w:rsidRPr="00B5280A" w:rsidRDefault="001E25EC" w:rsidP="001E25EC">
      <w:pPr>
        <w:numPr>
          <w:ilvl w:val="12"/>
          <w:numId w:val="0"/>
        </w:numPr>
        <w:spacing w:line="240" w:lineRule="auto"/>
        <w:ind w:right="-2"/>
        <w:rPr>
          <w:lang w:val="lt-LT"/>
        </w:rPr>
      </w:pPr>
    </w:p>
    <w:p w:rsidR="001E25EC" w:rsidRPr="00B5280A" w:rsidRDefault="001E25EC" w:rsidP="001E25EC">
      <w:pPr>
        <w:numPr>
          <w:ilvl w:val="12"/>
          <w:numId w:val="0"/>
        </w:numPr>
        <w:spacing w:line="240" w:lineRule="auto"/>
        <w:ind w:right="-2"/>
        <w:rPr>
          <w:lang w:val="lt-LT"/>
        </w:rPr>
      </w:pPr>
    </w:p>
    <w:p w:rsidR="001E25EC" w:rsidRPr="00B5280A" w:rsidRDefault="001E25EC" w:rsidP="001E25EC">
      <w:pPr>
        <w:pStyle w:val="Heading3"/>
        <w:spacing w:before="0" w:after="0" w:line="240" w:lineRule="auto"/>
        <w:rPr>
          <w:rFonts w:ascii="Times New Roman" w:hAnsi="Times New Roman"/>
          <w:sz w:val="22"/>
          <w:szCs w:val="22"/>
          <w:lang w:val="lt-LT"/>
        </w:rPr>
      </w:pPr>
      <w:r w:rsidRPr="00B5280A">
        <w:rPr>
          <w:rFonts w:ascii="Times New Roman" w:hAnsi="Times New Roman"/>
          <w:sz w:val="22"/>
          <w:szCs w:val="22"/>
          <w:lang w:val="lt-LT"/>
        </w:rPr>
        <w:t>3.</w:t>
      </w:r>
      <w:r w:rsidRPr="00B5280A">
        <w:rPr>
          <w:rFonts w:ascii="Times New Roman" w:hAnsi="Times New Roman"/>
          <w:sz w:val="22"/>
          <w:szCs w:val="22"/>
          <w:lang w:val="lt-LT"/>
        </w:rPr>
        <w:tab/>
        <w:t xml:space="preserve">Kaip vartoti </w:t>
      </w:r>
      <w:r>
        <w:rPr>
          <w:rFonts w:ascii="Times New Roman" w:hAnsi="Times New Roman"/>
          <w:sz w:val="22"/>
          <w:szCs w:val="22"/>
          <w:lang w:val="lt-LT"/>
        </w:rPr>
        <w:t>ViliDin</w:t>
      </w:r>
    </w:p>
    <w:p w:rsidR="001E25EC" w:rsidRPr="00B5280A" w:rsidRDefault="001E25EC" w:rsidP="001E25EC">
      <w:pPr>
        <w:numPr>
          <w:ilvl w:val="12"/>
          <w:numId w:val="0"/>
        </w:numPr>
        <w:spacing w:line="240" w:lineRule="auto"/>
        <w:ind w:right="-2"/>
        <w:rPr>
          <w:lang w:val="lt-LT"/>
        </w:rPr>
      </w:pPr>
    </w:p>
    <w:p w:rsidR="001E25EC" w:rsidRPr="00B5280A" w:rsidRDefault="001E25EC" w:rsidP="001E25EC">
      <w:pPr>
        <w:numPr>
          <w:ilvl w:val="12"/>
          <w:numId w:val="0"/>
        </w:numPr>
        <w:spacing w:line="240" w:lineRule="auto"/>
        <w:ind w:right="-2"/>
        <w:rPr>
          <w:lang w:val="lt-LT"/>
        </w:rPr>
      </w:pPr>
      <w:r w:rsidRPr="00B5280A">
        <w:rPr>
          <w:lang w:val="lt-LT"/>
        </w:rPr>
        <w:t>Visada vartokite šį vaistą tiksliai kaip nurodė gydytojas. Jeigu abejojate, kreipkitės į gydytoją arba vaistininką.</w:t>
      </w:r>
    </w:p>
    <w:p w:rsidR="001E25EC" w:rsidRPr="00B5280A" w:rsidRDefault="001E25EC" w:rsidP="001E25EC">
      <w:pPr>
        <w:numPr>
          <w:ilvl w:val="12"/>
          <w:numId w:val="0"/>
        </w:numPr>
        <w:spacing w:line="240" w:lineRule="auto"/>
        <w:ind w:right="-2"/>
        <w:rPr>
          <w:lang w:val="lt-LT"/>
        </w:rPr>
      </w:pPr>
    </w:p>
    <w:p w:rsidR="001E25EC" w:rsidRPr="00B5280A" w:rsidRDefault="001E25EC" w:rsidP="001E25EC">
      <w:pPr>
        <w:rPr>
          <w:lang w:val="lt-LT"/>
        </w:rPr>
      </w:pPr>
      <w:r w:rsidRPr="00B5280A">
        <w:rPr>
          <w:lang w:val="lt-LT"/>
        </w:rPr>
        <w:t>Toliau pateikiamos rekomenduojamos dozės, tačiau reikiamą dozę nustatys gydytojas.</w:t>
      </w:r>
    </w:p>
    <w:p w:rsidR="001E25EC" w:rsidRPr="00B5280A" w:rsidRDefault="001E25EC" w:rsidP="001E25EC">
      <w:pPr>
        <w:rPr>
          <w:lang w:val="lt-LT"/>
        </w:rPr>
      </w:pPr>
    </w:p>
    <w:p w:rsidR="001E25EC" w:rsidRDefault="001E25EC" w:rsidP="001E25EC">
      <w:pPr>
        <w:rPr>
          <w:lang w:val="lt-LT"/>
        </w:rPr>
      </w:pPr>
      <w:r w:rsidRPr="00B5280A">
        <w:rPr>
          <w:lang w:val="lt-LT"/>
        </w:rPr>
        <w:t>Gydant vitamino D stoką, 6</w:t>
      </w:r>
      <w:r w:rsidRPr="00B5280A">
        <w:rPr>
          <w:lang w:val="lt-LT"/>
        </w:rPr>
        <w:noBreakHyphen/>
        <w:t>8 savaites kas savaitę vartojama 50 000 TV dozė (1 kapsulė). Vėliau gydytojas gali nurodyti toliau vartoti ir mažesnes vitamino D dozes.</w:t>
      </w:r>
    </w:p>
    <w:p w:rsidR="001E25EC" w:rsidRPr="00B5280A" w:rsidRDefault="001E25EC" w:rsidP="001E25EC">
      <w:pPr>
        <w:ind w:left="567"/>
        <w:rPr>
          <w:lang w:val="lt-LT"/>
        </w:rPr>
      </w:pPr>
    </w:p>
    <w:p w:rsidR="001E25EC" w:rsidRPr="00B5280A" w:rsidRDefault="001E25EC" w:rsidP="001E25EC">
      <w:pPr>
        <w:rPr>
          <w:lang w:val="lt-LT"/>
        </w:rPr>
      </w:pPr>
      <w:r w:rsidRPr="00B5280A">
        <w:rPr>
          <w:lang w:val="lt-LT"/>
        </w:rPr>
        <w:t>Toliau išvardytiems žmonėms yra didelė vitamino D stokos rizika, todėl gali reikėti vartoti didesnę dozę (ją nurodys gydytojas).</w:t>
      </w:r>
    </w:p>
    <w:p w:rsidR="001E25EC" w:rsidRPr="00B5280A" w:rsidRDefault="001E25EC" w:rsidP="001E25EC">
      <w:pPr>
        <w:numPr>
          <w:ilvl w:val="0"/>
          <w:numId w:val="3"/>
        </w:numPr>
        <w:tabs>
          <w:tab w:val="left" w:pos="567"/>
        </w:tabs>
        <w:spacing w:after="0" w:line="260" w:lineRule="exact"/>
        <w:ind w:left="567" w:hanging="567"/>
        <w:rPr>
          <w:lang w:val="lt-LT"/>
        </w:rPr>
      </w:pPr>
      <w:r w:rsidRPr="00B5280A">
        <w:rPr>
          <w:lang w:val="lt-LT"/>
        </w:rPr>
        <w:t>Globos įstaigose ar ligoninėse gydomiems žmonėms.</w:t>
      </w:r>
    </w:p>
    <w:p w:rsidR="001E25EC" w:rsidRPr="00B5280A" w:rsidRDefault="001E25EC" w:rsidP="001E25EC">
      <w:pPr>
        <w:numPr>
          <w:ilvl w:val="0"/>
          <w:numId w:val="3"/>
        </w:numPr>
        <w:tabs>
          <w:tab w:val="left" w:pos="567"/>
        </w:tabs>
        <w:spacing w:after="0" w:line="260" w:lineRule="exact"/>
        <w:ind w:left="567" w:hanging="567"/>
        <w:rPr>
          <w:lang w:val="lt-LT"/>
        </w:rPr>
      </w:pPr>
      <w:r w:rsidRPr="00B5280A">
        <w:rPr>
          <w:lang w:val="lt-LT"/>
        </w:rPr>
        <w:t>Tamsiaodžiams žmonėms.</w:t>
      </w:r>
    </w:p>
    <w:p w:rsidR="001E25EC" w:rsidRPr="00B5280A" w:rsidRDefault="001E25EC" w:rsidP="001E25EC">
      <w:pPr>
        <w:numPr>
          <w:ilvl w:val="0"/>
          <w:numId w:val="3"/>
        </w:numPr>
        <w:tabs>
          <w:tab w:val="left" w:pos="567"/>
        </w:tabs>
        <w:spacing w:after="0" w:line="260" w:lineRule="exact"/>
        <w:ind w:left="567" w:hanging="567"/>
        <w:rPr>
          <w:lang w:val="lt-LT"/>
        </w:rPr>
      </w:pPr>
      <w:r w:rsidRPr="00B5280A">
        <w:rPr>
          <w:lang w:val="lt-LT"/>
        </w:rPr>
        <w:t>Asmenys, kurių ekspozicija saulėje yra maža dėl apsauginių drabužių nešiojimo ar nuolatinio kremo nuo saulės naudojimo.</w:t>
      </w:r>
    </w:p>
    <w:p w:rsidR="001E25EC" w:rsidRPr="00B5280A" w:rsidRDefault="001E25EC" w:rsidP="001E25EC">
      <w:pPr>
        <w:numPr>
          <w:ilvl w:val="0"/>
          <w:numId w:val="3"/>
        </w:numPr>
        <w:tabs>
          <w:tab w:val="left" w:pos="567"/>
        </w:tabs>
        <w:spacing w:after="0" w:line="260" w:lineRule="exact"/>
        <w:ind w:left="567" w:hanging="567"/>
        <w:rPr>
          <w:lang w:val="lt-LT"/>
        </w:rPr>
      </w:pPr>
      <w:r w:rsidRPr="00B5280A">
        <w:rPr>
          <w:lang w:val="lt-LT"/>
        </w:rPr>
        <w:t>Nutukusiems žmonėms.</w:t>
      </w:r>
    </w:p>
    <w:p w:rsidR="001E25EC" w:rsidRPr="00B5280A" w:rsidRDefault="001E25EC" w:rsidP="001E25EC">
      <w:pPr>
        <w:numPr>
          <w:ilvl w:val="0"/>
          <w:numId w:val="3"/>
        </w:numPr>
        <w:tabs>
          <w:tab w:val="left" w:pos="567"/>
        </w:tabs>
        <w:spacing w:after="0" w:line="260" w:lineRule="exact"/>
        <w:ind w:left="567" w:hanging="567"/>
        <w:rPr>
          <w:lang w:val="lt-LT"/>
        </w:rPr>
      </w:pPr>
      <w:r w:rsidRPr="00B5280A">
        <w:rPr>
          <w:lang w:val="lt-LT"/>
        </w:rPr>
        <w:t>Asmenims, kurie yra gydomi dėl osteoporozės (kaulų tankio sumažėjimo).</w:t>
      </w:r>
    </w:p>
    <w:p w:rsidR="001E25EC" w:rsidRPr="00B5280A" w:rsidRDefault="001E25EC" w:rsidP="001E25EC">
      <w:pPr>
        <w:numPr>
          <w:ilvl w:val="0"/>
          <w:numId w:val="3"/>
        </w:numPr>
        <w:tabs>
          <w:tab w:val="left" w:pos="567"/>
        </w:tabs>
        <w:spacing w:after="0" w:line="260" w:lineRule="exact"/>
        <w:ind w:left="567" w:hanging="567"/>
        <w:rPr>
          <w:lang w:val="lt-LT"/>
        </w:rPr>
      </w:pPr>
      <w:r w:rsidRPr="00B5280A">
        <w:rPr>
          <w:lang w:val="lt-LT"/>
        </w:rPr>
        <w:t>Asmenims, vartojantiems tam tikrų vaistų, pvz., vaistų nuo traukulių ar gliukokortikoidų (vartojamų reumatoidiniam artritui, astmai, alergijai gydyti).</w:t>
      </w:r>
    </w:p>
    <w:p w:rsidR="001E25EC" w:rsidRPr="00B5280A" w:rsidRDefault="001E25EC" w:rsidP="001E25EC">
      <w:pPr>
        <w:numPr>
          <w:ilvl w:val="0"/>
          <w:numId w:val="3"/>
        </w:numPr>
        <w:tabs>
          <w:tab w:val="left" w:pos="567"/>
        </w:tabs>
        <w:spacing w:after="0" w:line="260" w:lineRule="exact"/>
        <w:ind w:left="567" w:hanging="567"/>
        <w:rPr>
          <w:lang w:val="lt-LT"/>
        </w:rPr>
      </w:pPr>
      <w:r w:rsidRPr="00B5280A">
        <w:rPr>
          <w:lang w:val="lt-LT"/>
        </w:rPr>
        <w:t>Asmenims, kuriems yra malabsorbcija (sutrikęs medžiagų pasisavinimas žarnyne), įskaitant uždegiminę žarnyno ligą ir celiakiją (glitimo netoleravimas).</w:t>
      </w:r>
    </w:p>
    <w:p w:rsidR="001E25EC" w:rsidRPr="00B5280A" w:rsidRDefault="001E25EC" w:rsidP="001E25EC">
      <w:pPr>
        <w:numPr>
          <w:ilvl w:val="0"/>
          <w:numId w:val="3"/>
        </w:numPr>
        <w:tabs>
          <w:tab w:val="left" w:pos="567"/>
        </w:tabs>
        <w:spacing w:after="0" w:line="260" w:lineRule="exact"/>
        <w:ind w:left="567" w:hanging="567"/>
        <w:rPr>
          <w:lang w:val="lt-LT"/>
        </w:rPr>
      </w:pPr>
      <w:r w:rsidRPr="00B5280A">
        <w:rPr>
          <w:lang w:val="lt-LT"/>
        </w:rPr>
        <w:t>Asmenims, kurie neseniai buvo gydomi nuo vitamino D stokos ir kuriems reikalingas palaikomasis gydymas.</w:t>
      </w:r>
    </w:p>
    <w:p w:rsidR="001E25EC" w:rsidRPr="00B5280A" w:rsidRDefault="001E25EC" w:rsidP="001E25EC">
      <w:pPr>
        <w:rPr>
          <w:lang w:val="lt-LT"/>
        </w:rPr>
      </w:pPr>
    </w:p>
    <w:p w:rsidR="001E25EC" w:rsidRDefault="001E25EC" w:rsidP="001E25EC">
      <w:pPr>
        <w:rPr>
          <w:i/>
          <w:lang w:val="lt-LT"/>
        </w:rPr>
      </w:pPr>
      <w:r w:rsidRPr="00B5280A">
        <w:rPr>
          <w:i/>
          <w:lang w:val="lt-LT"/>
        </w:rPr>
        <w:t>Sutrikusi inkstų funkcija</w:t>
      </w:r>
    </w:p>
    <w:p w:rsidR="001E25EC" w:rsidRPr="00B5280A" w:rsidRDefault="001E25EC" w:rsidP="001E25EC">
      <w:pPr>
        <w:rPr>
          <w:lang w:val="lt-LT"/>
        </w:rPr>
      </w:pPr>
      <w:r w:rsidRPr="00B5280A">
        <w:rPr>
          <w:lang w:val="lt-LT"/>
        </w:rPr>
        <w:t>Dozę nurodys gydytojas.</w:t>
      </w:r>
    </w:p>
    <w:p w:rsidR="001E25EC" w:rsidRPr="00B5280A" w:rsidRDefault="001E25EC" w:rsidP="001E25EC">
      <w:pPr>
        <w:rPr>
          <w:lang w:val="lt-LT"/>
        </w:rPr>
      </w:pPr>
    </w:p>
    <w:p w:rsidR="001E25EC" w:rsidRPr="00B5280A" w:rsidRDefault="001E25EC" w:rsidP="001E25EC">
      <w:pPr>
        <w:rPr>
          <w:b/>
          <w:lang w:val="lt-LT"/>
        </w:rPr>
      </w:pPr>
      <w:r w:rsidRPr="00B5280A">
        <w:rPr>
          <w:b/>
          <w:lang w:val="lt-LT"/>
        </w:rPr>
        <w:t>Vartojimo metodas</w:t>
      </w:r>
    </w:p>
    <w:p w:rsidR="001E25EC" w:rsidRPr="00B5280A" w:rsidRDefault="001E25EC" w:rsidP="001E25EC">
      <w:pPr>
        <w:rPr>
          <w:lang w:val="lt-LT"/>
        </w:rPr>
      </w:pPr>
      <w:r w:rsidRPr="00B5280A">
        <w:rPr>
          <w:lang w:val="lt-LT"/>
        </w:rPr>
        <w:t xml:space="preserve">Kapsulę reikia nuryti sveiką, užgeriant vandeniu. </w:t>
      </w:r>
      <w:r>
        <w:rPr>
          <w:lang w:val="lt-LT"/>
        </w:rPr>
        <w:t>ViliDin</w:t>
      </w:r>
      <w:r w:rsidRPr="00B5280A">
        <w:rPr>
          <w:lang w:val="lt-LT"/>
        </w:rPr>
        <w:t xml:space="preserve"> rekomenduojama vartoti su maistu.</w:t>
      </w:r>
    </w:p>
    <w:p w:rsidR="001E25EC" w:rsidRPr="00B5280A" w:rsidRDefault="001E25EC" w:rsidP="001E25EC">
      <w:pPr>
        <w:numPr>
          <w:ilvl w:val="12"/>
          <w:numId w:val="0"/>
        </w:numPr>
        <w:spacing w:line="240" w:lineRule="auto"/>
        <w:ind w:right="-2"/>
        <w:rPr>
          <w:lang w:val="lt-LT"/>
        </w:rPr>
      </w:pPr>
    </w:p>
    <w:p w:rsidR="001E25EC" w:rsidRPr="00B5280A" w:rsidRDefault="001E25EC" w:rsidP="001E25EC">
      <w:pPr>
        <w:pStyle w:val="Heading4"/>
        <w:rPr>
          <w:rFonts w:ascii="Times New Roman" w:hAnsi="Times New Roman"/>
          <w:sz w:val="22"/>
          <w:szCs w:val="22"/>
          <w:lang w:val="lt-LT"/>
        </w:rPr>
      </w:pPr>
      <w:r w:rsidRPr="00B5280A">
        <w:rPr>
          <w:rFonts w:ascii="Times New Roman" w:hAnsi="Times New Roman"/>
          <w:sz w:val="22"/>
          <w:szCs w:val="22"/>
          <w:lang w:val="lt-LT"/>
        </w:rPr>
        <w:t xml:space="preserve">Ką daryti pavartojus per didelę </w:t>
      </w:r>
      <w:r>
        <w:rPr>
          <w:rFonts w:ascii="Times New Roman" w:hAnsi="Times New Roman"/>
          <w:sz w:val="22"/>
          <w:szCs w:val="22"/>
          <w:lang w:val="lt-LT"/>
        </w:rPr>
        <w:t>ViliDin</w:t>
      </w:r>
      <w:r w:rsidRPr="00B5280A">
        <w:rPr>
          <w:rFonts w:ascii="Times New Roman" w:hAnsi="Times New Roman"/>
          <w:sz w:val="22"/>
          <w:szCs w:val="22"/>
          <w:lang w:val="lt-LT"/>
        </w:rPr>
        <w:t xml:space="preserve"> dozę?</w:t>
      </w:r>
    </w:p>
    <w:p w:rsidR="001E25EC" w:rsidRPr="00B5280A" w:rsidRDefault="001E25EC" w:rsidP="001E25EC">
      <w:pPr>
        <w:numPr>
          <w:ilvl w:val="12"/>
          <w:numId w:val="0"/>
        </w:numPr>
        <w:spacing w:line="240" w:lineRule="auto"/>
        <w:ind w:right="-2"/>
        <w:rPr>
          <w:lang w:val="lt-LT"/>
        </w:rPr>
      </w:pPr>
      <w:r w:rsidRPr="00B5280A">
        <w:rPr>
          <w:lang w:val="lt-LT"/>
        </w:rPr>
        <w:t xml:space="preserve">Jeigu suvartojote didesnę nei skirta </w:t>
      </w:r>
      <w:r>
        <w:rPr>
          <w:lang w:val="lt-LT"/>
        </w:rPr>
        <w:t>ViliDin</w:t>
      </w:r>
      <w:r w:rsidRPr="00B5280A">
        <w:rPr>
          <w:lang w:val="lt-LT"/>
        </w:rPr>
        <w:t xml:space="preserve"> dozę, nutraukite šio vaisto vartojimą ir kreipkitės į savo gydytoją arba vykite į artimiausios ligoninės skubios pagalbos skyrių. Pasiimkite su savimi šio vaisto pakuotę, kad gydytojas žinotų, kokio vaisto buvo išgerta.</w:t>
      </w:r>
    </w:p>
    <w:p w:rsidR="001E25EC" w:rsidRPr="00B5280A" w:rsidRDefault="001E25EC" w:rsidP="001E25EC">
      <w:pPr>
        <w:numPr>
          <w:ilvl w:val="12"/>
          <w:numId w:val="0"/>
        </w:numPr>
        <w:spacing w:line="240" w:lineRule="auto"/>
        <w:ind w:right="-2"/>
        <w:rPr>
          <w:lang w:val="lt-LT"/>
        </w:rPr>
      </w:pPr>
      <w:r w:rsidRPr="00B5280A">
        <w:rPr>
          <w:lang w:val="lt-LT"/>
        </w:rPr>
        <w:t>Simptomai, kurie dažniausiai pasireiškia perdozavimo atveju, yra pykinimas, vėmimas, iš pradžių viduriavimas, po to – vidurių užkietėjimas, apetito netekimas, nuovargis, galvos skausmas, raumenų skausmas, sąnarių skausmas, raumenų silpnumas, nuolatinis mieguistumas, troškulys, gausus šlapinimasis, didelis azoto kiekis kraujyje, didelis kalcio kiekis kraujyje ir šlapime (nustatomi laboratoriniais tyrimais).</w:t>
      </w:r>
    </w:p>
    <w:p w:rsidR="001E25EC" w:rsidRPr="00B5280A" w:rsidRDefault="001E25EC" w:rsidP="001E25EC">
      <w:pPr>
        <w:numPr>
          <w:ilvl w:val="12"/>
          <w:numId w:val="0"/>
        </w:numPr>
        <w:spacing w:line="240" w:lineRule="auto"/>
        <w:ind w:right="-2"/>
        <w:rPr>
          <w:lang w:val="lt-LT"/>
        </w:rPr>
      </w:pPr>
    </w:p>
    <w:p w:rsidR="001E25EC" w:rsidRPr="00B5280A" w:rsidRDefault="001E25EC" w:rsidP="001E25EC">
      <w:pPr>
        <w:numPr>
          <w:ilvl w:val="12"/>
          <w:numId w:val="0"/>
        </w:numPr>
        <w:spacing w:line="240" w:lineRule="auto"/>
        <w:ind w:right="-29"/>
        <w:rPr>
          <w:lang w:val="lt-LT"/>
        </w:rPr>
      </w:pPr>
      <w:r w:rsidRPr="00B5280A">
        <w:rPr>
          <w:lang w:val="lt-LT"/>
        </w:rPr>
        <w:t>Jeigu kiltų daugiau klausimų dėl šio vaisto vartojimo, kreipkitės į gydytoją arba vaistininką.</w:t>
      </w:r>
    </w:p>
    <w:p w:rsidR="001E25EC" w:rsidRPr="00B5280A" w:rsidRDefault="001E25EC" w:rsidP="001E25EC">
      <w:pPr>
        <w:numPr>
          <w:ilvl w:val="12"/>
          <w:numId w:val="0"/>
        </w:numPr>
        <w:spacing w:line="240" w:lineRule="auto"/>
        <w:rPr>
          <w:lang w:val="lt-LT"/>
        </w:rPr>
      </w:pPr>
    </w:p>
    <w:p w:rsidR="001E25EC" w:rsidRPr="00B5280A" w:rsidRDefault="001E25EC" w:rsidP="001E25EC">
      <w:pPr>
        <w:numPr>
          <w:ilvl w:val="12"/>
          <w:numId w:val="0"/>
        </w:numPr>
        <w:spacing w:line="240" w:lineRule="auto"/>
        <w:rPr>
          <w:lang w:val="lt-LT"/>
        </w:rPr>
      </w:pPr>
    </w:p>
    <w:p w:rsidR="001E25EC" w:rsidRPr="00B5280A" w:rsidRDefault="001E25EC" w:rsidP="001E25EC">
      <w:pPr>
        <w:pStyle w:val="Heading3"/>
        <w:spacing w:before="0" w:after="0" w:line="240" w:lineRule="auto"/>
        <w:rPr>
          <w:rFonts w:ascii="Times New Roman" w:hAnsi="Times New Roman"/>
          <w:sz w:val="22"/>
          <w:szCs w:val="22"/>
          <w:lang w:val="lt-LT"/>
        </w:rPr>
      </w:pPr>
      <w:r w:rsidRPr="00B5280A">
        <w:rPr>
          <w:rFonts w:ascii="Times New Roman" w:hAnsi="Times New Roman"/>
          <w:sz w:val="22"/>
          <w:szCs w:val="22"/>
          <w:lang w:val="lt-LT"/>
        </w:rPr>
        <w:t>4.</w:t>
      </w:r>
      <w:r w:rsidRPr="00B5280A">
        <w:rPr>
          <w:rFonts w:ascii="Times New Roman" w:hAnsi="Times New Roman"/>
          <w:sz w:val="22"/>
          <w:szCs w:val="22"/>
          <w:lang w:val="lt-LT"/>
        </w:rPr>
        <w:tab/>
        <w:t>Galimas šalutinis poveikis</w:t>
      </w:r>
    </w:p>
    <w:p w:rsidR="001E25EC" w:rsidRPr="00B5280A" w:rsidRDefault="001E25EC" w:rsidP="001E25EC">
      <w:pPr>
        <w:numPr>
          <w:ilvl w:val="12"/>
          <w:numId w:val="0"/>
        </w:numPr>
        <w:spacing w:line="240" w:lineRule="auto"/>
        <w:rPr>
          <w:lang w:val="lt-LT"/>
        </w:rPr>
      </w:pPr>
    </w:p>
    <w:p w:rsidR="001E25EC" w:rsidRPr="00B5280A" w:rsidRDefault="001E25EC" w:rsidP="001E25EC">
      <w:pPr>
        <w:numPr>
          <w:ilvl w:val="12"/>
          <w:numId w:val="0"/>
        </w:numPr>
        <w:spacing w:line="240" w:lineRule="auto"/>
        <w:ind w:right="-29"/>
        <w:rPr>
          <w:lang w:val="lt-LT"/>
        </w:rPr>
      </w:pPr>
      <w:r w:rsidRPr="00B5280A">
        <w:rPr>
          <w:lang w:val="lt-LT"/>
        </w:rPr>
        <w:t>Šis vaistas, kaip ir visi kiti, gali sukelti šalutinį poveikį, nors jis pasireiškia ne visiems žmonėms.</w:t>
      </w:r>
    </w:p>
    <w:p w:rsidR="001E25EC" w:rsidRPr="00B5280A" w:rsidRDefault="001E25EC" w:rsidP="001E25EC">
      <w:pPr>
        <w:numPr>
          <w:ilvl w:val="12"/>
          <w:numId w:val="0"/>
        </w:numPr>
        <w:spacing w:line="240" w:lineRule="auto"/>
        <w:ind w:right="-29"/>
        <w:rPr>
          <w:lang w:val="lt-LT"/>
        </w:rPr>
      </w:pPr>
    </w:p>
    <w:p w:rsidR="001E25EC" w:rsidRPr="00B5280A" w:rsidRDefault="001E25EC" w:rsidP="001E25EC">
      <w:pPr>
        <w:numPr>
          <w:ilvl w:val="12"/>
          <w:numId w:val="0"/>
        </w:numPr>
        <w:spacing w:line="240" w:lineRule="auto"/>
        <w:ind w:right="-29"/>
        <w:rPr>
          <w:lang w:val="lt-LT"/>
        </w:rPr>
      </w:pPr>
      <w:r w:rsidRPr="00B5280A">
        <w:rPr>
          <w:b/>
          <w:lang w:val="lt-LT"/>
        </w:rPr>
        <w:t xml:space="preserve">Nedažnas </w:t>
      </w:r>
      <w:r w:rsidRPr="00B5280A">
        <w:rPr>
          <w:lang w:val="lt-LT"/>
        </w:rPr>
        <w:t>(gali pasireikšti ne daugiau kaip 1 žmogui iš 100):</w:t>
      </w:r>
    </w:p>
    <w:p w:rsidR="001E25EC" w:rsidRDefault="001E25EC" w:rsidP="001E25EC">
      <w:pPr>
        <w:numPr>
          <w:ilvl w:val="0"/>
          <w:numId w:val="3"/>
        </w:numPr>
        <w:tabs>
          <w:tab w:val="left" w:pos="567"/>
        </w:tabs>
        <w:spacing w:after="0" w:line="260" w:lineRule="exact"/>
        <w:ind w:left="567" w:hanging="567"/>
        <w:rPr>
          <w:lang w:val="lt-LT"/>
        </w:rPr>
      </w:pPr>
      <w:r w:rsidRPr="00B5280A">
        <w:rPr>
          <w:lang w:val="lt-LT"/>
        </w:rPr>
        <w:t>per didelis kalcio kiekis kraujyje (hiperkalcemija); galimi simptomai yra pykinimas, vėmimas, apetito netekimas, vidurių užkietėjimas, pilvo skausmas, kaulų skausmas, labai stiprus troškulys, poreikis dažniau nei įprasta šlapintis, raumenų silpnumas, apsnūdimas arba minčių susipainiojimas;</w:t>
      </w:r>
    </w:p>
    <w:p w:rsidR="001E25EC" w:rsidRPr="00B5280A" w:rsidRDefault="001E25EC" w:rsidP="001E25EC">
      <w:pPr>
        <w:numPr>
          <w:ilvl w:val="0"/>
          <w:numId w:val="3"/>
        </w:numPr>
        <w:tabs>
          <w:tab w:val="left" w:pos="567"/>
        </w:tabs>
        <w:spacing w:after="0" w:line="260" w:lineRule="exact"/>
        <w:ind w:left="567" w:hanging="567"/>
        <w:rPr>
          <w:lang w:val="lt-LT"/>
        </w:rPr>
      </w:pPr>
      <w:r w:rsidRPr="00B5280A">
        <w:rPr>
          <w:lang w:val="lt-LT"/>
        </w:rPr>
        <w:t>per didelis kalcio kiekis šlapime (hiperkalciurija).</w:t>
      </w:r>
    </w:p>
    <w:p w:rsidR="001E25EC" w:rsidRPr="00B5280A" w:rsidRDefault="001E25EC" w:rsidP="001E25EC">
      <w:pPr>
        <w:rPr>
          <w:lang w:val="lt-LT"/>
        </w:rPr>
      </w:pPr>
    </w:p>
    <w:p w:rsidR="001E25EC" w:rsidRPr="00B5280A" w:rsidRDefault="001E25EC" w:rsidP="001E25EC">
      <w:pPr>
        <w:numPr>
          <w:ilvl w:val="12"/>
          <w:numId w:val="0"/>
        </w:numPr>
        <w:spacing w:line="240" w:lineRule="auto"/>
        <w:ind w:right="-2"/>
        <w:rPr>
          <w:lang w:val="lt-LT"/>
        </w:rPr>
      </w:pPr>
      <w:r w:rsidRPr="00B5280A">
        <w:rPr>
          <w:lang w:val="lt-LT"/>
        </w:rPr>
        <w:t>Retas (pasireiškia rečiau kaip 1 iš 1000 žmonių)</w:t>
      </w:r>
    </w:p>
    <w:p w:rsidR="001E25EC" w:rsidRPr="00B5280A" w:rsidRDefault="001E25EC" w:rsidP="001E25EC">
      <w:pPr>
        <w:numPr>
          <w:ilvl w:val="0"/>
          <w:numId w:val="3"/>
        </w:numPr>
        <w:tabs>
          <w:tab w:val="left" w:pos="567"/>
        </w:tabs>
        <w:spacing w:after="0" w:line="260" w:lineRule="exact"/>
        <w:ind w:left="567" w:hanging="567"/>
        <w:rPr>
          <w:lang w:val="lt-LT"/>
        </w:rPr>
      </w:pPr>
      <w:r w:rsidRPr="00B5280A">
        <w:rPr>
          <w:lang w:val="lt-LT"/>
        </w:rPr>
        <w:t>niežėjimas, išbėrimas ir dilgėlinė.</w:t>
      </w:r>
    </w:p>
    <w:p w:rsidR="001E25EC" w:rsidRPr="00B5280A" w:rsidRDefault="001E25EC" w:rsidP="001E25EC">
      <w:pPr>
        <w:rPr>
          <w:lang w:val="lt-LT"/>
        </w:rPr>
      </w:pPr>
    </w:p>
    <w:p w:rsidR="001E25EC" w:rsidRPr="00B5280A" w:rsidRDefault="001E25EC" w:rsidP="001E25EC">
      <w:pPr>
        <w:spacing w:line="240" w:lineRule="auto"/>
        <w:rPr>
          <w:lang w:val="lt-LT"/>
        </w:rPr>
      </w:pPr>
      <w:r w:rsidRPr="00B5280A">
        <w:rPr>
          <w:lang w:val="lt-LT"/>
        </w:rPr>
        <w:t>Dažnis nežinomas (negali būti apskaičiuotas pagal turimus duomenis)</w:t>
      </w:r>
    </w:p>
    <w:p w:rsidR="001E25EC" w:rsidRPr="00B5280A" w:rsidRDefault="001E25EC" w:rsidP="001E25EC">
      <w:pPr>
        <w:numPr>
          <w:ilvl w:val="0"/>
          <w:numId w:val="3"/>
        </w:numPr>
        <w:tabs>
          <w:tab w:val="left" w:pos="567"/>
        </w:tabs>
        <w:spacing w:after="0" w:line="260" w:lineRule="exact"/>
        <w:ind w:left="567" w:hanging="567"/>
        <w:rPr>
          <w:lang w:val="lt-LT"/>
        </w:rPr>
      </w:pPr>
      <w:r w:rsidRPr="00B5280A">
        <w:rPr>
          <w:lang w:val="lt-LT"/>
        </w:rPr>
        <w:t>padidėjusio jautrumo reakcijos, pvz., angioneurozinė edema ar gerklų edema.</w:t>
      </w:r>
    </w:p>
    <w:p w:rsidR="001E25EC" w:rsidRPr="00B5280A" w:rsidRDefault="001E25EC" w:rsidP="001E25EC">
      <w:pPr>
        <w:spacing w:line="240" w:lineRule="auto"/>
        <w:rPr>
          <w:b/>
          <w:lang w:val="lt-LT"/>
        </w:rPr>
      </w:pPr>
    </w:p>
    <w:p w:rsidR="001E25EC" w:rsidRPr="00B5280A" w:rsidRDefault="001E25EC" w:rsidP="001E25EC">
      <w:pPr>
        <w:spacing w:line="240" w:lineRule="auto"/>
        <w:rPr>
          <w:b/>
          <w:lang w:val="lt-LT"/>
        </w:rPr>
      </w:pPr>
      <w:r w:rsidRPr="00B5280A">
        <w:rPr>
          <w:b/>
          <w:lang w:val="lt-LT"/>
        </w:rPr>
        <w:t>Pranešimas apie šalutinį poveikį</w:t>
      </w:r>
    </w:p>
    <w:p w:rsidR="001E25EC" w:rsidRPr="00B5280A" w:rsidRDefault="001E25EC" w:rsidP="001E25EC">
      <w:pPr>
        <w:spacing w:line="240" w:lineRule="auto"/>
        <w:rPr>
          <w:lang w:val="lt-LT"/>
        </w:rPr>
      </w:pPr>
      <w:r w:rsidRPr="00B5280A">
        <w:rPr>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B5280A">
        <w:rPr>
          <w:lang w:val="lt-LT" w:eastAsia="zh-CN"/>
        </w:rPr>
        <w:t>elefonu 8 800 73568</w:t>
      </w:r>
      <w:r w:rsidRPr="00B5280A">
        <w:rPr>
          <w:lang w:val="lt-LT"/>
        </w:rPr>
        <w:t xml:space="preserve"> arba užpildyti interneto svetainėje </w:t>
      </w:r>
      <w:hyperlink r:id="rId5" w:history="1">
        <w:r w:rsidRPr="00B5280A">
          <w:rPr>
            <w:rStyle w:val="Hyperlink"/>
            <w:rFonts w:eastAsia="SimSun"/>
            <w:lang w:val="lt-LT"/>
          </w:rPr>
          <w:t>www.vvkt.lt</w:t>
        </w:r>
      </w:hyperlink>
      <w:r w:rsidRPr="00B5280A">
        <w:rPr>
          <w:lang w:val="lt-LT"/>
        </w:rPr>
        <w:t xml:space="preserve"> esančią formą ir pateikti ją Valstybinei vaistų kontrolės tarnybai prie Lietuvos Respublikos sveikatos apsaugos ministerijos vienu iš šių būdų: raštu (adresu Žirmūnų g. 139A, LT-09120 Vilnius), </w:t>
      </w:r>
      <w:r w:rsidRPr="00B5280A">
        <w:rPr>
          <w:lang w:val="lt-LT" w:eastAsia="zh-CN"/>
        </w:rPr>
        <w:t xml:space="preserve">nemokamu </w:t>
      </w:r>
      <w:r w:rsidRPr="00B5280A">
        <w:rPr>
          <w:lang w:val="lt-LT"/>
        </w:rPr>
        <w:t>fakso numeriu 8 800 20131</w:t>
      </w:r>
      <w:r w:rsidRPr="00B5280A">
        <w:rPr>
          <w:lang w:val="lt-LT" w:eastAsia="zh-CN"/>
        </w:rPr>
        <w:t xml:space="preserve">, </w:t>
      </w:r>
      <w:r w:rsidRPr="00B5280A">
        <w:rPr>
          <w:lang w:val="lt-LT"/>
        </w:rPr>
        <w:t xml:space="preserve">el. paštu </w:t>
      </w:r>
      <w:hyperlink r:id="rId6" w:tooltip="NepageidaujamaR@vvkt.lt" w:history="1">
        <w:r w:rsidRPr="00B5280A">
          <w:rPr>
            <w:rStyle w:val="Hyperlink"/>
            <w:rFonts w:eastAsia="SimSun"/>
            <w:lang w:val="lt-LT"/>
          </w:rPr>
          <w:t>NepageidaujamaR@vvkt.lt</w:t>
        </w:r>
        <w:r w:rsidRPr="00B5280A">
          <w:rPr>
            <w:rStyle w:val="Hyperlink"/>
            <w:lang w:val="lt-LT"/>
          </w:rPr>
          <w:t>,</w:t>
        </w:r>
      </w:hyperlink>
      <w:r w:rsidRPr="00B5280A">
        <w:rPr>
          <w:lang w:val="lt-LT"/>
        </w:rPr>
        <w:t xml:space="preserve"> taip pat per Valstybinės vaistų kontrolės tarnybos prie Lietuvos Respublikos sveikatos apsaugos ministerijos interneto svetainę (adresu </w:t>
      </w:r>
      <w:hyperlink r:id="rId7" w:history="1">
        <w:r w:rsidRPr="00B5280A">
          <w:rPr>
            <w:rStyle w:val="Hyperlink"/>
            <w:rFonts w:eastAsia="SimSun"/>
            <w:lang w:val="lt-LT"/>
          </w:rPr>
          <w:t>http://www.vvkt.lt</w:t>
        </w:r>
      </w:hyperlink>
      <w:r w:rsidRPr="00B5280A">
        <w:rPr>
          <w:lang w:val="lt-LT"/>
        </w:rPr>
        <w:t>). Pranešdami apie šalutinį poveikį galite mums padėti gauti daugiau informacijos apie šio vaisto saugumą.</w:t>
      </w:r>
    </w:p>
    <w:p w:rsidR="001E25EC" w:rsidRPr="00B5280A" w:rsidRDefault="001E25EC" w:rsidP="001E25EC">
      <w:pPr>
        <w:ind w:right="-449"/>
        <w:rPr>
          <w:lang w:val="lt-LT"/>
        </w:rPr>
      </w:pPr>
    </w:p>
    <w:p w:rsidR="001E25EC" w:rsidRPr="00B5280A" w:rsidRDefault="001E25EC" w:rsidP="001E25EC">
      <w:pPr>
        <w:ind w:right="-449"/>
        <w:rPr>
          <w:lang w:val="lt-LT"/>
        </w:rPr>
      </w:pPr>
    </w:p>
    <w:p w:rsidR="001E25EC" w:rsidRPr="00B5280A" w:rsidRDefault="001E25EC" w:rsidP="001E25EC">
      <w:pPr>
        <w:pStyle w:val="Heading3"/>
        <w:spacing w:before="0" w:after="0" w:line="240" w:lineRule="auto"/>
        <w:rPr>
          <w:rFonts w:ascii="Times New Roman" w:hAnsi="Times New Roman"/>
          <w:sz w:val="22"/>
          <w:szCs w:val="22"/>
          <w:lang w:val="lt-LT"/>
        </w:rPr>
      </w:pPr>
      <w:r w:rsidRPr="00B5280A">
        <w:rPr>
          <w:rFonts w:ascii="Times New Roman" w:hAnsi="Times New Roman"/>
          <w:sz w:val="22"/>
          <w:szCs w:val="22"/>
          <w:lang w:val="lt-LT"/>
        </w:rPr>
        <w:t>5.</w:t>
      </w:r>
      <w:r w:rsidRPr="00B5280A">
        <w:rPr>
          <w:rFonts w:ascii="Times New Roman" w:hAnsi="Times New Roman"/>
          <w:sz w:val="22"/>
          <w:szCs w:val="22"/>
          <w:lang w:val="lt-LT"/>
        </w:rPr>
        <w:tab/>
        <w:t xml:space="preserve">Kaip laikyti </w:t>
      </w:r>
      <w:r>
        <w:rPr>
          <w:rFonts w:ascii="Times New Roman" w:hAnsi="Times New Roman"/>
          <w:sz w:val="22"/>
          <w:szCs w:val="22"/>
          <w:lang w:val="lt-LT"/>
        </w:rPr>
        <w:t>ViliDin</w:t>
      </w:r>
    </w:p>
    <w:p w:rsidR="001E25EC" w:rsidRPr="00B5280A" w:rsidRDefault="001E25EC" w:rsidP="001E25EC">
      <w:pPr>
        <w:numPr>
          <w:ilvl w:val="12"/>
          <w:numId w:val="0"/>
        </w:numPr>
        <w:spacing w:line="240" w:lineRule="auto"/>
        <w:ind w:right="-2"/>
        <w:rPr>
          <w:lang w:val="lt-LT"/>
        </w:rPr>
      </w:pPr>
    </w:p>
    <w:p w:rsidR="001E25EC" w:rsidRPr="00B5280A" w:rsidRDefault="001E25EC" w:rsidP="001E25EC">
      <w:pPr>
        <w:numPr>
          <w:ilvl w:val="12"/>
          <w:numId w:val="0"/>
        </w:numPr>
        <w:spacing w:line="240" w:lineRule="auto"/>
        <w:ind w:right="-2"/>
        <w:rPr>
          <w:lang w:val="lt-LT"/>
        </w:rPr>
      </w:pPr>
      <w:r w:rsidRPr="00B5280A">
        <w:rPr>
          <w:lang w:val="lt-LT"/>
        </w:rPr>
        <w:t>Šį vaistą laikykite vaikams nepastebimoje ir nepasiekiamoje vietoje.</w:t>
      </w:r>
    </w:p>
    <w:p w:rsidR="001E25EC" w:rsidRPr="00B5280A" w:rsidRDefault="001E25EC" w:rsidP="001E25EC">
      <w:pPr>
        <w:numPr>
          <w:ilvl w:val="12"/>
          <w:numId w:val="0"/>
        </w:numPr>
        <w:spacing w:line="240" w:lineRule="auto"/>
        <w:ind w:right="-2"/>
        <w:rPr>
          <w:lang w:val="lt-LT"/>
        </w:rPr>
      </w:pPr>
    </w:p>
    <w:p w:rsidR="001E25EC" w:rsidRPr="00B5280A" w:rsidRDefault="001E25EC" w:rsidP="001E25EC">
      <w:pPr>
        <w:numPr>
          <w:ilvl w:val="12"/>
          <w:numId w:val="0"/>
        </w:numPr>
        <w:spacing w:line="240" w:lineRule="auto"/>
        <w:ind w:right="-2"/>
        <w:rPr>
          <w:lang w:val="lt-LT"/>
        </w:rPr>
      </w:pPr>
      <w:r w:rsidRPr="00B5280A">
        <w:rPr>
          <w:lang w:val="lt-LT"/>
        </w:rPr>
        <w:t>Ant kartono dėžutės ir lizdinės plokštelės po „</w:t>
      </w:r>
      <w:r w:rsidRPr="004A17EE">
        <w:rPr>
          <w:highlight w:val="lightGray"/>
          <w:lang w:val="lt-LT"/>
        </w:rPr>
        <w:t>Tinka iki</w:t>
      </w:r>
      <w:r w:rsidRPr="00B5280A">
        <w:rPr>
          <w:lang w:val="lt-LT"/>
        </w:rPr>
        <w:t>/EXP“ nurodytam tinkamumo laikui pasibaigus, šio vaisto vartoti negalima. Vaistas tinkamas vartoti iki paskutinės nurodyto mėnesio dienos.</w:t>
      </w:r>
    </w:p>
    <w:p w:rsidR="001E25EC" w:rsidRPr="00B5280A" w:rsidRDefault="001E25EC" w:rsidP="001E25EC">
      <w:pPr>
        <w:numPr>
          <w:ilvl w:val="12"/>
          <w:numId w:val="0"/>
        </w:numPr>
        <w:spacing w:line="240" w:lineRule="auto"/>
        <w:ind w:right="-2"/>
        <w:rPr>
          <w:lang w:val="lt-LT"/>
        </w:rPr>
      </w:pPr>
    </w:p>
    <w:p w:rsidR="001E25EC" w:rsidRPr="00B5280A" w:rsidRDefault="001E25EC" w:rsidP="001E25EC">
      <w:pPr>
        <w:numPr>
          <w:ilvl w:val="12"/>
          <w:numId w:val="0"/>
        </w:numPr>
        <w:spacing w:line="240" w:lineRule="auto"/>
        <w:ind w:right="-2"/>
        <w:rPr>
          <w:lang w:val="lt-LT"/>
        </w:rPr>
      </w:pPr>
      <w:r w:rsidRPr="00B5280A">
        <w:rPr>
          <w:lang w:val="lt-LT"/>
        </w:rPr>
        <w:t>Šiam vaistui specialių laikymo sąlygų nereikia.</w:t>
      </w:r>
    </w:p>
    <w:p w:rsidR="001E25EC" w:rsidRPr="00B5280A" w:rsidRDefault="001E25EC" w:rsidP="001E25EC">
      <w:pPr>
        <w:numPr>
          <w:ilvl w:val="12"/>
          <w:numId w:val="0"/>
        </w:numPr>
        <w:spacing w:line="240" w:lineRule="auto"/>
        <w:ind w:right="-2"/>
        <w:rPr>
          <w:lang w:val="lt-LT"/>
        </w:rPr>
      </w:pPr>
    </w:p>
    <w:p w:rsidR="001E25EC" w:rsidRPr="00B5280A" w:rsidRDefault="001E25EC" w:rsidP="001E25EC">
      <w:pPr>
        <w:numPr>
          <w:ilvl w:val="12"/>
          <w:numId w:val="0"/>
        </w:numPr>
        <w:spacing w:line="240" w:lineRule="auto"/>
        <w:ind w:right="-2"/>
        <w:rPr>
          <w:i/>
          <w:iCs/>
          <w:lang w:val="lt-LT"/>
        </w:rPr>
      </w:pPr>
      <w:r w:rsidRPr="00B5280A">
        <w:rPr>
          <w:lang w:val="lt-LT"/>
        </w:rPr>
        <w:t>Vaistų negalima išmesti į kanalizaciją arba su buitinėmis atliekomis. Kaip išmesti nereikalingus vaistus, klauskite vaistininko. Šios priemonės padės apsaugoti aplinką.</w:t>
      </w:r>
    </w:p>
    <w:p w:rsidR="001E25EC" w:rsidRPr="00B5280A" w:rsidRDefault="001E25EC" w:rsidP="001E25EC">
      <w:pPr>
        <w:numPr>
          <w:ilvl w:val="12"/>
          <w:numId w:val="0"/>
        </w:numPr>
        <w:spacing w:line="240" w:lineRule="auto"/>
        <w:ind w:right="-2"/>
        <w:rPr>
          <w:lang w:val="lt-LT"/>
        </w:rPr>
      </w:pPr>
    </w:p>
    <w:p w:rsidR="001E25EC" w:rsidRPr="00B5280A" w:rsidRDefault="001E25EC" w:rsidP="001E25EC">
      <w:pPr>
        <w:numPr>
          <w:ilvl w:val="12"/>
          <w:numId w:val="0"/>
        </w:numPr>
        <w:spacing w:line="240" w:lineRule="auto"/>
        <w:ind w:right="-2"/>
        <w:rPr>
          <w:lang w:val="lt-LT"/>
        </w:rPr>
      </w:pPr>
    </w:p>
    <w:p w:rsidR="001E25EC" w:rsidRPr="00B5280A" w:rsidRDefault="001E25EC" w:rsidP="001E25EC">
      <w:pPr>
        <w:pStyle w:val="Heading3"/>
        <w:spacing w:before="0" w:after="0" w:line="240" w:lineRule="auto"/>
        <w:rPr>
          <w:rFonts w:ascii="Times New Roman" w:hAnsi="Times New Roman"/>
          <w:sz w:val="22"/>
          <w:szCs w:val="22"/>
          <w:lang w:val="lt-LT"/>
        </w:rPr>
      </w:pPr>
      <w:r w:rsidRPr="00B5280A">
        <w:rPr>
          <w:rFonts w:ascii="Times New Roman" w:hAnsi="Times New Roman"/>
          <w:sz w:val="22"/>
          <w:szCs w:val="22"/>
          <w:lang w:val="lt-LT"/>
        </w:rPr>
        <w:t>6.</w:t>
      </w:r>
      <w:r w:rsidRPr="00B5280A">
        <w:rPr>
          <w:rFonts w:ascii="Times New Roman" w:hAnsi="Times New Roman"/>
          <w:b w:val="0"/>
          <w:sz w:val="22"/>
          <w:szCs w:val="22"/>
          <w:lang w:val="lt-LT"/>
        </w:rPr>
        <w:tab/>
      </w:r>
      <w:r w:rsidRPr="00B5280A">
        <w:rPr>
          <w:rFonts w:ascii="Times New Roman" w:hAnsi="Times New Roman"/>
          <w:sz w:val="22"/>
          <w:szCs w:val="22"/>
          <w:lang w:val="lt-LT"/>
        </w:rPr>
        <w:t>Pakuotės turinys ir kita informacija</w:t>
      </w:r>
    </w:p>
    <w:p w:rsidR="001E25EC" w:rsidRPr="00B5280A" w:rsidRDefault="001E25EC" w:rsidP="001E25EC">
      <w:pPr>
        <w:numPr>
          <w:ilvl w:val="12"/>
          <w:numId w:val="0"/>
        </w:numPr>
        <w:spacing w:line="240" w:lineRule="auto"/>
        <w:rPr>
          <w:lang w:val="lt-LT"/>
        </w:rPr>
      </w:pPr>
    </w:p>
    <w:p w:rsidR="001E25EC" w:rsidRDefault="001E25EC" w:rsidP="001E25EC">
      <w:pPr>
        <w:pStyle w:val="Heading4"/>
        <w:rPr>
          <w:rFonts w:ascii="Times New Roman" w:hAnsi="Times New Roman"/>
          <w:sz w:val="22"/>
          <w:szCs w:val="22"/>
          <w:lang w:val="lt-LT"/>
        </w:rPr>
      </w:pPr>
      <w:r>
        <w:rPr>
          <w:rFonts w:ascii="Times New Roman" w:hAnsi="Times New Roman"/>
          <w:sz w:val="22"/>
          <w:szCs w:val="22"/>
          <w:lang w:val="lt-LT"/>
        </w:rPr>
        <w:t>ViliDin</w:t>
      </w:r>
      <w:r w:rsidRPr="00B5280A">
        <w:rPr>
          <w:rFonts w:ascii="Times New Roman" w:hAnsi="Times New Roman"/>
          <w:sz w:val="22"/>
          <w:szCs w:val="22"/>
          <w:lang w:val="lt-LT"/>
        </w:rPr>
        <w:t xml:space="preserve"> sudėtis</w:t>
      </w:r>
    </w:p>
    <w:p w:rsidR="001E25EC" w:rsidRPr="00B5280A" w:rsidRDefault="001E25EC" w:rsidP="001E25EC">
      <w:pPr>
        <w:numPr>
          <w:ilvl w:val="0"/>
          <w:numId w:val="2"/>
        </w:numPr>
        <w:spacing w:after="0" w:line="240" w:lineRule="auto"/>
        <w:ind w:left="567" w:right="-2" w:hanging="567"/>
        <w:rPr>
          <w:lang w:val="lt-LT"/>
        </w:rPr>
      </w:pPr>
      <w:r w:rsidRPr="00B5280A">
        <w:rPr>
          <w:lang w:val="lt-LT"/>
        </w:rPr>
        <w:t>Veiklioji medžiaga yra kolekalciferolis (vitaminas D</w:t>
      </w:r>
      <w:r w:rsidRPr="00B5280A">
        <w:rPr>
          <w:vertAlign w:val="subscript"/>
          <w:lang w:val="lt-LT"/>
        </w:rPr>
        <w:t>3</w:t>
      </w:r>
      <w:r w:rsidRPr="00B5280A">
        <w:rPr>
          <w:lang w:val="lt-LT"/>
        </w:rPr>
        <w:t>). Kiekvienoje minkštojoje kapsulėje yra 50 000 TV kolekalciferolio (atitinkančio 1,25 mg vitamino D</w:t>
      </w:r>
      <w:r w:rsidRPr="00B5280A">
        <w:rPr>
          <w:vertAlign w:val="subscript"/>
          <w:lang w:val="lt-LT"/>
        </w:rPr>
        <w:t>3</w:t>
      </w:r>
      <w:r w:rsidRPr="00B5280A">
        <w:rPr>
          <w:lang w:val="lt-LT"/>
        </w:rPr>
        <w:t>).</w:t>
      </w:r>
    </w:p>
    <w:p w:rsidR="001E25EC" w:rsidRPr="00B5280A" w:rsidRDefault="001E25EC" w:rsidP="001E25EC">
      <w:pPr>
        <w:numPr>
          <w:ilvl w:val="0"/>
          <w:numId w:val="2"/>
        </w:numPr>
        <w:spacing w:after="0" w:line="240" w:lineRule="auto"/>
        <w:ind w:left="567" w:hanging="567"/>
        <w:rPr>
          <w:lang w:val="lt-LT"/>
        </w:rPr>
      </w:pPr>
      <w:r w:rsidRPr="00B5280A">
        <w:rPr>
          <w:lang w:val="lt-LT"/>
        </w:rPr>
        <w:t>Pagalbinės medžiagos kapsulės apvalkale yra želatina, glicerolis, iš dalies dehidratuotas skystasis sorbitolis, chinolino geltonasis (E 104), o turinyje - visų racematų alfa-tokoferilio acetatas, vidutinės grandinės trigliceridai.</w:t>
      </w:r>
    </w:p>
    <w:p w:rsidR="001E25EC" w:rsidRPr="00B5280A" w:rsidRDefault="001E25EC" w:rsidP="001E25EC">
      <w:pPr>
        <w:numPr>
          <w:ilvl w:val="12"/>
          <w:numId w:val="0"/>
        </w:numPr>
        <w:spacing w:line="240" w:lineRule="auto"/>
        <w:ind w:right="-2"/>
        <w:rPr>
          <w:lang w:val="lt-LT"/>
        </w:rPr>
      </w:pPr>
    </w:p>
    <w:p w:rsidR="001E25EC" w:rsidRPr="00B5280A" w:rsidRDefault="001E25EC" w:rsidP="001E25EC">
      <w:pPr>
        <w:pStyle w:val="Heading4"/>
        <w:rPr>
          <w:rFonts w:ascii="Times New Roman" w:hAnsi="Times New Roman"/>
          <w:sz w:val="22"/>
          <w:szCs w:val="22"/>
          <w:lang w:val="lt-LT"/>
        </w:rPr>
      </w:pPr>
      <w:r>
        <w:rPr>
          <w:rFonts w:ascii="Times New Roman" w:hAnsi="Times New Roman"/>
          <w:sz w:val="22"/>
          <w:szCs w:val="22"/>
          <w:lang w:val="lt-LT"/>
        </w:rPr>
        <w:t>ViliDin</w:t>
      </w:r>
      <w:r w:rsidRPr="00B5280A">
        <w:rPr>
          <w:rFonts w:ascii="Times New Roman" w:hAnsi="Times New Roman"/>
          <w:sz w:val="22"/>
          <w:szCs w:val="22"/>
          <w:lang w:val="lt-LT"/>
        </w:rPr>
        <w:t xml:space="preserve"> išvaizda ir kiekis pakuotėje</w:t>
      </w:r>
    </w:p>
    <w:p w:rsidR="001E25EC" w:rsidRPr="00B5280A" w:rsidRDefault="001E25EC" w:rsidP="001E25EC">
      <w:pPr>
        <w:rPr>
          <w:lang w:val="lt-LT"/>
        </w:rPr>
      </w:pPr>
      <w:r>
        <w:rPr>
          <w:lang w:val="lt-LT"/>
        </w:rPr>
        <w:t>ViliDin</w:t>
      </w:r>
      <w:r w:rsidRPr="00B5280A">
        <w:rPr>
          <w:lang w:val="lt-LT"/>
        </w:rPr>
        <w:t xml:space="preserve"> yra geltona, skaidri, apvali minkštoji kapsulė, kuri užpildyta bespalviu ir skaidriu skysčiu. Kapsulių ilgis maždaug -7,36 mm, o plotis - 6,27 mm.</w:t>
      </w:r>
    </w:p>
    <w:p w:rsidR="001E25EC" w:rsidRPr="00B5280A" w:rsidRDefault="001E25EC" w:rsidP="001E25EC">
      <w:pPr>
        <w:spacing w:line="240" w:lineRule="auto"/>
        <w:rPr>
          <w:lang w:val="lt-LT"/>
        </w:rPr>
      </w:pPr>
    </w:p>
    <w:p w:rsidR="001E25EC" w:rsidRPr="00B5280A" w:rsidRDefault="001E25EC" w:rsidP="001E25EC">
      <w:pPr>
        <w:spacing w:line="240" w:lineRule="auto"/>
        <w:rPr>
          <w:szCs w:val="24"/>
          <w:lang w:val="lt-LT"/>
        </w:rPr>
      </w:pPr>
      <w:r w:rsidRPr="00B5280A">
        <w:rPr>
          <w:szCs w:val="24"/>
          <w:lang w:val="lt-LT"/>
        </w:rPr>
        <w:t>Dėžutė, kurioje yra 1</w:t>
      </w:r>
      <w:r>
        <w:rPr>
          <w:szCs w:val="24"/>
          <w:lang w:val="lt-LT"/>
        </w:rPr>
        <w:t>, 2</w:t>
      </w:r>
      <w:r w:rsidRPr="00B5280A">
        <w:rPr>
          <w:szCs w:val="24"/>
          <w:lang w:val="lt-LT"/>
        </w:rPr>
        <w:t xml:space="preserve"> arba 4 minkštosios kapsulės matinėje PVC/PVDC/Al lizdinėje plokštelėje.</w:t>
      </w:r>
    </w:p>
    <w:p w:rsidR="001E25EC" w:rsidRPr="00B5280A" w:rsidRDefault="001E25EC" w:rsidP="001E25EC">
      <w:pPr>
        <w:spacing w:line="240" w:lineRule="auto"/>
        <w:rPr>
          <w:szCs w:val="24"/>
          <w:lang w:val="lt-LT"/>
        </w:rPr>
      </w:pPr>
    </w:p>
    <w:p w:rsidR="001E25EC" w:rsidRPr="00B5280A" w:rsidRDefault="001E25EC" w:rsidP="001E25EC">
      <w:pPr>
        <w:numPr>
          <w:ilvl w:val="12"/>
          <w:numId w:val="0"/>
        </w:numPr>
        <w:spacing w:line="240" w:lineRule="auto"/>
        <w:ind w:right="-2"/>
        <w:rPr>
          <w:szCs w:val="24"/>
          <w:lang w:val="lt-LT"/>
        </w:rPr>
      </w:pPr>
      <w:r w:rsidRPr="00B5280A">
        <w:rPr>
          <w:szCs w:val="24"/>
          <w:lang w:val="lt-LT"/>
        </w:rPr>
        <w:t>Gali būti tiekiamos ne visų dydžių pakuotės.</w:t>
      </w:r>
    </w:p>
    <w:p w:rsidR="001E25EC" w:rsidRPr="00B5280A" w:rsidRDefault="001E25EC" w:rsidP="001E25EC">
      <w:pPr>
        <w:numPr>
          <w:ilvl w:val="12"/>
          <w:numId w:val="0"/>
        </w:numPr>
        <w:spacing w:line="240" w:lineRule="auto"/>
        <w:ind w:right="-2"/>
        <w:rPr>
          <w:lang w:val="lt-LT"/>
        </w:rPr>
      </w:pPr>
    </w:p>
    <w:p w:rsidR="001E25EC" w:rsidRDefault="001E25EC" w:rsidP="001E25EC">
      <w:pPr>
        <w:pStyle w:val="Heading4"/>
        <w:rPr>
          <w:rFonts w:ascii="Times New Roman" w:hAnsi="Times New Roman"/>
          <w:sz w:val="22"/>
          <w:szCs w:val="22"/>
          <w:lang w:val="lt-LT"/>
        </w:rPr>
      </w:pPr>
      <w:r w:rsidRPr="00B5280A">
        <w:rPr>
          <w:rFonts w:ascii="Times New Roman" w:hAnsi="Times New Roman"/>
          <w:sz w:val="22"/>
          <w:szCs w:val="22"/>
          <w:lang w:val="lt-LT"/>
        </w:rPr>
        <w:t>Registruotojas</w:t>
      </w:r>
    </w:p>
    <w:p w:rsidR="001E25EC" w:rsidRPr="00DF3181" w:rsidRDefault="001E25EC" w:rsidP="001E25EC">
      <w:pPr>
        <w:rPr>
          <w:lang w:val="lt-LT"/>
        </w:rPr>
      </w:pPr>
    </w:p>
    <w:p w:rsidR="001E25EC" w:rsidRPr="00B5280A" w:rsidRDefault="001E25EC" w:rsidP="001E25EC">
      <w:pPr>
        <w:spacing w:line="240" w:lineRule="auto"/>
        <w:rPr>
          <w:lang w:val="lt-LT"/>
        </w:rPr>
      </w:pPr>
      <w:r w:rsidRPr="00B5280A">
        <w:rPr>
          <w:lang w:val="lt-LT"/>
        </w:rPr>
        <w:t>SIA "Ingen Pharma"</w:t>
      </w:r>
    </w:p>
    <w:p w:rsidR="001E25EC" w:rsidRPr="00B5280A" w:rsidRDefault="001E25EC" w:rsidP="001E25EC">
      <w:pPr>
        <w:spacing w:line="240" w:lineRule="auto"/>
        <w:rPr>
          <w:lang w:val="lt-LT"/>
        </w:rPr>
      </w:pPr>
      <w:r w:rsidRPr="00B5280A">
        <w:rPr>
          <w:lang w:val="lt-LT"/>
        </w:rPr>
        <w:t>Karla Ulmaņa gatve 119, Mārupe</w:t>
      </w:r>
    </w:p>
    <w:p w:rsidR="001E25EC" w:rsidRPr="00B5280A" w:rsidRDefault="001E25EC" w:rsidP="001E25EC">
      <w:pPr>
        <w:spacing w:line="240" w:lineRule="auto"/>
        <w:rPr>
          <w:lang w:val="lt-LT"/>
        </w:rPr>
      </w:pPr>
      <w:r w:rsidRPr="00B5280A">
        <w:rPr>
          <w:lang w:val="lt-LT"/>
        </w:rPr>
        <w:t>LV-2167 Mārupes novads</w:t>
      </w:r>
    </w:p>
    <w:p w:rsidR="001E25EC" w:rsidRPr="00B5280A" w:rsidRDefault="001E25EC" w:rsidP="001E25EC">
      <w:pPr>
        <w:spacing w:line="240" w:lineRule="auto"/>
        <w:rPr>
          <w:lang w:val="lt-LT"/>
        </w:rPr>
      </w:pPr>
      <w:r w:rsidRPr="00B5280A">
        <w:rPr>
          <w:lang w:val="lt-LT"/>
        </w:rPr>
        <w:t>Latvija</w:t>
      </w:r>
    </w:p>
    <w:p w:rsidR="001E25EC" w:rsidRDefault="001E25EC" w:rsidP="001E25EC">
      <w:pPr>
        <w:numPr>
          <w:ilvl w:val="12"/>
          <w:numId w:val="0"/>
        </w:numPr>
        <w:spacing w:line="240" w:lineRule="auto"/>
        <w:ind w:right="-2"/>
        <w:rPr>
          <w:lang w:val="lt-LT"/>
        </w:rPr>
      </w:pPr>
    </w:p>
    <w:p w:rsidR="001E25EC" w:rsidRPr="00A747C0" w:rsidRDefault="001E25EC" w:rsidP="001E25EC">
      <w:pPr>
        <w:numPr>
          <w:ilvl w:val="12"/>
          <w:numId w:val="0"/>
        </w:numPr>
        <w:spacing w:line="240" w:lineRule="auto"/>
        <w:ind w:right="-2"/>
        <w:rPr>
          <w:b/>
          <w:bCs/>
          <w:lang w:val="lt-LT"/>
        </w:rPr>
      </w:pPr>
      <w:r w:rsidRPr="00A747C0">
        <w:rPr>
          <w:b/>
          <w:bCs/>
          <w:lang w:val="lt-LT"/>
        </w:rPr>
        <w:t>Gamintojai</w:t>
      </w:r>
    </w:p>
    <w:p w:rsidR="001E25EC" w:rsidRDefault="001E25EC" w:rsidP="001E25EC">
      <w:pPr>
        <w:numPr>
          <w:ilvl w:val="12"/>
          <w:numId w:val="0"/>
        </w:numPr>
        <w:spacing w:line="240" w:lineRule="auto"/>
        <w:ind w:right="-2"/>
        <w:rPr>
          <w:lang w:val="lt-LT"/>
        </w:rPr>
      </w:pPr>
    </w:p>
    <w:p w:rsidR="001E25EC" w:rsidRPr="00B5280A" w:rsidRDefault="001E25EC" w:rsidP="001E25EC">
      <w:pPr>
        <w:spacing w:line="240" w:lineRule="auto"/>
        <w:rPr>
          <w:lang w:val="lt-LT"/>
        </w:rPr>
      </w:pPr>
      <w:r w:rsidRPr="00B5280A">
        <w:rPr>
          <w:lang w:val="lt-LT"/>
        </w:rPr>
        <w:t>SIA "Ingen Pharma"</w:t>
      </w:r>
    </w:p>
    <w:p w:rsidR="001E25EC" w:rsidRPr="00B5280A" w:rsidRDefault="001E25EC" w:rsidP="001E25EC">
      <w:pPr>
        <w:spacing w:line="240" w:lineRule="auto"/>
        <w:rPr>
          <w:lang w:val="lt-LT"/>
        </w:rPr>
      </w:pPr>
      <w:r w:rsidRPr="00B5280A">
        <w:rPr>
          <w:lang w:val="lt-LT"/>
        </w:rPr>
        <w:t>Karla Ulmaņa gatve 119, Mārupe</w:t>
      </w:r>
    </w:p>
    <w:p w:rsidR="001E25EC" w:rsidRPr="00B5280A" w:rsidRDefault="001E25EC" w:rsidP="001E25EC">
      <w:pPr>
        <w:spacing w:line="240" w:lineRule="auto"/>
        <w:rPr>
          <w:lang w:val="lt-LT"/>
        </w:rPr>
      </w:pPr>
      <w:r w:rsidRPr="00B5280A">
        <w:rPr>
          <w:lang w:val="lt-LT"/>
        </w:rPr>
        <w:t>LV-2167 Mārupes novads</w:t>
      </w:r>
    </w:p>
    <w:p w:rsidR="001E25EC" w:rsidRPr="00B5280A" w:rsidRDefault="001E25EC" w:rsidP="001E25EC">
      <w:pPr>
        <w:spacing w:line="240" w:lineRule="auto"/>
        <w:rPr>
          <w:lang w:val="lt-LT"/>
        </w:rPr>
      </w:pPr>
      <w:r w:rsidRPr="00B5280A">
        <w:rPr>
          <w:lang w:val="lt-LT"/>
        </w:rPr>
        <w:t>Latvija</w:t>
      </w:r>
    </w:p>
    <w:p w:rsidR="001E25EC" w:rsidRDefault="001E25EC" w:rsidP="001E25EC">
      <w:pPr>
        <w:numPr>
          <w:ilvl w:val="12"/>
          <w:numId w:val="0"/>
        </w:numPr>
        <w:spacing w:line="240" w:lineRule="auto"/>
        <w:ind w:right="-2"/>
        <w:rPr>
          <w:lang w:val="lt-LT"/>
        </w:rPr>
      </w:pPr>
    </w:p>
    <w:p w:rsidR="001E25EC" w:rsidRDefault="001E25EC" w:rsidP="001E25EC">
      <w:pPr>
        <w:numPr>
          <w:ilvl w:val="12"/>
          <w:numId w:val="0"/>
        </w:numPr>
        <w:spacing w:line="240" w:lineRule="auto"/>
        <w:ind w:right="-2"/>
        <w:rPr>
          <w:lang w:val="lt-LT"/>
        </w:rPr>
      </w:pPr>
      <w:r>
        <w:rPr>
          <w:lang w:val="lt-LT"/>
        </w:rPr>
        <w:t>arba</w:t>
      </w:r>
    </w:p>
    <w:p w:rsidR="001E25EC" w:rsidRDefault="001E25EC" w:rsidP="001E25EC">
      <w:pPr>
        <w:numPr>
          <w:ilvl w:val="12"/>
          <w:numId w:val="0"/>
        </w:numPr>
        <w:spacing w:line="240" w:lineRule="auto"/>
        <w:ind w:right="-2"/>
        <w:rPr>
          <w:lang w:val="lt-LT"/>
        </w:rPr>
      </w:pPr>
    </w:p>
    <w:p w:rsidR="001E25EC" w:rsidRDefault="001E25EC" w:rsidP="001E25EC">
      <w:pPr>
        <w:numPr>
          <w:ilvl w:val="12"/>
          <w:numId w:val="0"/>
        </w:numPr>
        <w:spacing w:line="240" w:lineRule="auto"/>
        <w:ind w:right="-2"/>
        <w:rPr>
          <w:lang w:val="lt-LT"/>
        </w:rPr>
      </w:pPr>
      <w:r>
        <w:rPr>
          <w:lang w:val="lt-LT"/>
        </w:rPr>
        <w:t>HC Clover Productos Y Servicios, S.L.</w:t>
      </w:r>
    </w:p>
    <w:p w:rsidR="001E25EC" w:rsidRDefault="001E25EC" w:rsidP="001E25EC">
      <w:pPr>
        <w:numPr>
          <w:ilvl w:val="12"/>
          <w:numId w:val="0"/>
        </w:numPr>
        <w:spacing w:line="240" w:lineRule="auto"/>
        <w:ind w:right="-2"/>
        <w:rPr>
          <w:lang w:val="lt-LT"/>
        </w:rPr>
      </w:pPr>
      <w:r>
        <w:rPr>
          <w:lang w:val="lt-LT"/>
        </w:rPr>
        <w:t>C/ Alicante, 8-10, Arganda del Rey,</w:t>
      </w:r>
    </w:p>
    <w:p w:rsidR="001E25EC" w:rsidRDefault="001E25EC" w:rsidP="001E25EC">
      <w:pPr>
        <w:numPr>
          <w:ilvl w:val="12"/>
          <w:numId w:val="0"/>
        </w:numPr>
        <w:spacing w:line="240" w:lineRule="auto"/>
        <w:ind w:right="-2"/>
        <w:rPr>
          <w:lang w:val="lt-LT"/>
        </w:rPr>
      </w:pPr>
      <w:r>
        <w:rPr>
          <w:lang w:val="lt-LT"/>
        </w:rPr>
        <w:t>28500 Madrid</w:t>
      </w:r>
    </w:p>
    <w:p w:rsidR="001E25EC" w:rsidRDefault="001E25EC" w:rsidP="001E25EC">
      <w:pPr>
        <w:numPr>
          <w:ilvl w:val="12"/>
          <w:numId w:val="0"/>
        </w:numPr>
        <w:spacing w:line="240" w:lineRule="auto"/>
        <w:ind w:right="-2"/>
        <w:rPr>
          <w:lang w:val="lt-LT"/>
        </w:rPr>
      </w:pPr>
      <w:r>
        <w:rPr>
          <w:lang w:val="lt-LT"/>
        </w:rPr>
        <w:t>Ispanija</w:t>
      </w:r>
    </w:p>
    <w:p w:rsidR="001E25EC" w:rsidRPr="00B5280A" w:rsidRDefault="001E25EC" w:rsidP="001E25EC">
      <w:pPr>
        <w:numPr>
          <w:ilvl w:val="12"/>
          <w:numId w:val="0"/>
        </w:numPr>
        <w:spacing w:line="240" w:lineRule="auto"/>
        <w:ind w:right="-2"/>
        <w:rPr>
          <w:lang w:val="lt-LT"/>
        </w:rPr>
      </w:pPr>
    </w:p>
    <w:p w:rsidR="001E25EC" w:rsidRPr="00B5280A" w:rsidRDefault="001E25EC" w:rsidP="001E25EC">
      <w:pPr>
        <w:numPr>
          <w:ilvl w:val="12"/>
          <w:numId w:val="0"/>
        </w:numPr>
        <w:spacing w:line="240" w:lineRule="auto"/>
        <w:ind w:right="-2"/>
        <w:rPr>
          <w:lang w:val="lt-LT"/>
        </w:rPr>
      </w:pPr>
      <w:r w:rsidRPr="00B5280A">
        <w:rPr>
          <w:lang w:val="lt-LT"/>
        </w:rPr>
        <w:t>Jeigu apie šį vaistą norite sužinoti daugiau, kreipkitės į registruotoją.</w:t>
      </w:r>
    </w:p>
    <w:p w:rsidR="001E25EC" w:rsidRPr="00B5280A" w:rsidRDefault="001E25EC" w:rsidP="001E25EC">
      <w:pPr>
        <w:numPr>
          <w:ilvl w:val="12"/>
          <w:numId w:val="0"/>
        </w:numPr>
        <w:ind w:right="-2"/>
        <w:rPr>
          <w:lang w:val="lt-LT"/>
        </w:rPr>
      </w:pPr>
    </w:p>
    <w:p w:rsidR="001E25EC" w:rsidRPr="00B5280A" w:rsidRDefault="001E25EC" w:rsidP="001E25EC">
      <w:pPr>
        <w:numPr>
          <w:ilvl w:val="12"/>
          <w:numId w:val="0"/>
        </w:numPr>
        <w:spacing w:line="240" w:lineRule="auto"/>
        <w:ind w:right="-2"/>
        <w:rPr>
          <w:b/>
          <w:lang w:val="lt-LT"/>
        </w:rPr>
      </w:pPr>
      <w:r w:rsidRPr="00B5280A">
        <w:rPr>
          <w:b/>
          <w:lang w:val="lt-LT"/>
        </w:rPr>
        <w:t>Šis pakuotės lapelis paskutinį kartą peržiūrėtas</w:t>
      </w:r>
      <w:r>
        <w:rPr>
          <w:b/>
          <w:lang w:val="lt-LT"/>
        </w:rPr>
        <w:t xml:space="preserve"> 2020-01-16.</w:t>
      </w:r>
    </w:p>
    <w:p w:rsidR="001E25EC" w:rsidRPr="00B5280A" w:rsidRDefault="001E25EC" w:rsidP="001E25EC">
      <w:pPr>
        <w:numPr>
          <w:ilvl w:val="12"/>
          <w:numId w:val="0"/>
        </w:numPr>
        <w:spacing w:line="240" w:lineRule="auto"/>
        <w:ind w:right="-2"/>
        <w:rPr>
          <w:i/>
          <w:lang w:val="lt-LT"/>
        </w:rPr>
      </w:pPr>
    </w:p>
    <w:p w:rsidR="001E25EC" w:rsidRDefault="001E25EC" w:rsidP="001E25EC">
      <w:pPr>
        <w:numPr>
          <w:ilvl w:val="12"/>
          <w:numId w:val="0"/>
        </w:numPr>
        <w:spacing w:line="240" w:lineRule="auto"/>
        <w:ind w:right="-2"/>
        <w:rPr>
          <w:lang w:val="lt-LT"/>
        </w:rPr>
      </w:pPr>
      <w:r w:rsidRPr="00B5280A">
        <w:rPr>
          <w:lang w:val="lt-LT"/>
        </w:rPr>
        <w:t>Išsami informacija apie šį vaistą pateikiama Valstybinės vaistų kontrolės tarnybos prie Lietuvos Respublikos sveikatos apsaugos ministerijos tinklalapyje</w:t>
      </w:r>
      <w:r w:rsidRPr="00B5280A">
        <w:rPr>
          <w:i/>
          <w:lang w:val="lt-LT"/>
        </w:rPr>
        <w:t xml:space="preserve"> </w:t>
      </w:r>
      <w:hyperlink r:id="rId8" w:history="1">
        <w:r w:rsidRPr="00B5280A">
          <w:rPr>
            <w:rStyle w:val="Hyperlink"/>
            <w:rFonts w:eastAsia="SimSun"/>
            <w:lang w:val="lt-LT"/>
          </w:rPr>
          <w:t>http://www.vvkt.lt/</w:t>
        </w:r>
      </w:hyperlink>
      <w:r w:rsidRPr="00B5280A">
        <w:rPr>
          <w:lang w:val="lt-LT"/>
        </w:rPr>
        <w:t>.</w:t>
      </w:r>
    </w:p>
    <w:p w:rsidR="001E25EC" w:rsidRDefault="001E25EC">
      <w:bookmarkStart w:id="0" w:name="_GoBack"/>
      <w:bookmarkEnd w:id="0"/>
    </w:p>
    <w:sectPr w:rsidR="001E25EC">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35012372"/>
    <w:multiLevelType w:val="hybridMultilevel"/>
    <w:tmpl w:val="2B28186E"/>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6DD5705"/>
    <w:multiLevelType w:val="hybridMultilevel"/>
    <w:tmpl w:val="39E20CB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0"/>
    <w:lvlOverride w:ilvl="0">
      <w:lvl w:ilvl="0">
        <w:start w:val="1"/>
        <w:numFmt w:val="bullet"/>
        <w:lvlText w:val="-"/>
        <w:lvlJc w:val="left"/>
        <w:pPr>
          <w:ind w:left="360" w:hanging="360"/>
        </w:p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EC"/>
    <w:rsid w:val="001E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DF25F-8C5D-46CA-B41F-2AE6A933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1E25EC"/>
    <w:pPr>
      <w:keepNext/>
      <w:tabs>
        <w:tab w:val="left" w:pos="567"/>
      </w:tabs>
      <w:spacing w:before="240" w:after="60" w:line="260" w:lineRule="exact"/>
      <w:outlineLvl w:val="1"/>
    </w:pPr>
    <w:rPr>
      <w:rFonts w:ascii="Cambria" w:eastAsia="Times New Roman" w:hAnsi="Cambria" w:cs="Times New Roman"/>
      <w:b/>
      <w:bCs/>
      <w:i/>
      <w:iCs/>
      <w:snapToGrid w:val="0"/>
      <w:sz w:val="28"/>
      <w:szCs w:val="28"/>
      <w:lang w:val="en-GB" w:eastAsia="x-none"/>
    </w:rPr>
  </w:style>
  <w:style w:type="paragraph" w:styleId="Heading3">
    <w:name w:val="heading 3"/>
    <w:basedOn w:val="Normal"/>
    <w:next w:val="Normal"/>
    <w:link w:val="Heading3Char"/>
    <w:uiPriority w:val="99"/>
    <w:qFormat/>
    <w:rsid w:val="001E25EC"/>
    <w:pPr>
      <w:keepNext/>
      <w:keepLines/>
      <w:tabs>
        <w:tab w:val="left" w:pos="567"/>
      </w:tabs>
      <w:spacing w:before="120" w:after="80" w:line="260" w:lineRule="exact"/>
      <w:outlineLvl w:val="2"/>
    </w:pPr>
    <w:rPr>
      <w:rFonts w:ascii="Cambria" w:eastAsia="Times New Roman" w:hAnsi="Cambria" w:cs="Times New Roman"/>
      <w:b/>
      <w:bCs/>
      <w:snapToGrid w:val="0"/>
      <w:sz w:val="26"/>
      <w:szCs w:val="26"/>
      <w:lang w:val="en-GB" w:eastAsia="x-none"/>
    </w:rPr>
  </w:style>
  <w:style w:type="paragraph" w:styleId="Heading4">
    <w:name w:val="heading 4"/>
    <w:basedOn w:val="Normal"/>
    <w:next w:val="Normal"/>
    <w:link w:val="Heading4Char"/>
    <w:uiPriority w:val="99"/>
    <w:qFormat/>
    <w:rsid w:val="001E25EC"/>
    <w:pPr>
      <w:keepNext/>
      <w:tabs>
        <w:tab w:val="left" w:pos="567"/>
      </w:tabs>
      <w:spacing w:after="0" w:line="260" w:lineRule="exact"/>
      <w:jc w:val="both"/>
      <w:outlineLvl w:val="3"/>
    </w:pPr>
    <w:rPr>
      <w:rFonts w:ascii="Calibri" w:eastAsia="Times New Roman" w:hAnsi="Calibri" w:cs="Times New Roman"/>
      <w:b/>
      <w:bCs/>
      <w:snapToGrid w:val="0"/>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E25EC"/>
    <w:rPr>
      <w:rFonts w:ascii="Cambria" w:eastAsia="Times New Roman" w:hAnsi="Cambria" w:cs="Times New Roman"/>
      <w:b/>
      <w:bCs/>
      <w:i/>
      <w:iCs/>
      <w:snapToGrid w:val="0"/>
      <w:sz w:val="28"/>
      <w:szCs w:val="28"/>
      <w:lang w:val="en-GB" w:eastAsia="x-none"/>
    </w:rPr>
  </w:style>
  <w:style w:type="character" w:customStyle="1" w:styleId="Heading3Char">
    <w:name w:val="Heading 3 Char"/>
    <w:basedOn w:val="DefaultParagraphFont"/>
    <w:link w:val="Heading3"/>
    <w:uiPriority w:val="99"/>
    <w:rsid w:val="001E25EC"/>
    <w:rPr>
      <w:rFonts w:ascii="Cambria" w:eastAsia="Times New Roman" w:hAnsi="Cambria" w:cs="Times New Roman"/>
      <w:b/>
      <w:bCs/>
      <w:snapToGrid w:val="0"/>
      <w:sz w:val="26"/>
      <w:szCs w:val="26"/>
      <w:lang w:val="en-GB" w:eastAsia="x-none"/>
    </w:rPr>
  </w:style>
  <w:style w:type="character" w:customStyle="1" w:styleId="Heading4Char">
    <w:name w:val="Heading 4 Char"/>
    <w:basedOn w:val="DefaultParagraphFont"/>
    <w:link w:val="Heading4"/>
    <w:uiPriority w:val="99"/>
    <w:rsid w:val="001E25EC"/>
    <w:rPr>
      <w:rFonts w:ascii="Calibri" w:eastAsia="Times New Roman" w:hAnsi="Calibri" w:cs="Times New Roman"/>
      <w:b/>
      <w:bCs/>
      <w:snapToGrid w:val="0"/>
      <w:sz w:val="28"/>
      <w:szCs w:val="28"/>
      <w:lang w:val="en-GB" w:eastAsia="x-none"/>
    </w:rPr>
  </w:style>
  <w:style w:type="character" w:styleId="Hyperlink">
    <w:name w:val="Hyperlink"/>
    <w:uiPriority w:val="99"/>
    <w:rsid w:val="001E2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1450</Words>
  <Characters>8269</Characters>
  <Application>Microsoft Office Word</Application>
  <DocSecurity>0</DocSecurity>
  <Lines>68</Lines>
  <Paragraphs>19</Paragraphs>
  <ScaleCrop>false</ScaleCrop>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2020-11-20T09:16:00Z</dcterms:created>
  <dcterms:modified xsi:type="dcterms:W3CDTF">2020-11-20T09:16:00Z</dcterms:modified>
</cp:coreProperties>
</file>