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F7" w:rsidRDefault="00BA04F7" w:rsidP="00BA04F7">
      <w:pPr>
        <w:tabs>
          <w:tab w:val="left" w:pos="567"/>
        </w:tabs>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Pakuotės lapelis</w:t>
      </w:r>
      <w:r>
        <w:rPr>
          <w:rFonts w:ascii="Times New Roman" w:eastAsia="Calibri" w:hAnsi="Times New Roman" w:cs="Times New Roman"/>
          <w:lang w:eastAsia="lt-LT"/>
        </w:rPr>
        <w:t xml:space="preserve">: </w:t>
      </w:r>
      <w:r>
        <w:rPr>
          <w:rFonts w:ascii="Times New Roman" w:eastAsia="Calibri" w:hAnsi="Times New Roman" w:cs="Times New Roman"/>
          <w:b/>
          <w:lang w:eastAsia="lt-LT"/>
        </w:rPr>
        <w:t>informacija vartotojui</w:t>
      </w:r>
    </w:p>
    <w:p w:rsidR="00BA04F7" w:rsidRDefault="00BA04F7" w:rsidP="00BA04F7">
      <w:pPr>
        <w:tabs>
          <w:tab w:val="left" w:pos="567"/>
        </w:tabs>
        <w:spacing w:after="0" w:line="240" w:lineRule="auto"/>
        <w:jc w:val="center"/>
        <w:rPr>
          <w:rFonts w:ascii="Times New Roman" w:eastAsia="Calibri" w:hAnsi="Times New Roman" w:cs="Times New Roman"/>
          <w:lang w:eastAsia="lt-LT"/>
        </w:rPr>
      </w:pPr>
    </w:p>
    <w:p w:rsidR="00BA04F7" w:rsidRDefault="00BA04F7" w:rsidP="00BA04F7">
      <w:pPr>
        <w:tabs>
          <w:tab w:val="left" w:pos="567"/>
        </w:tabs>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Ringer Fresenius infuzinis tirpalas</w:t>
      </w:r>
    </w:p>
    <w:p w:rsidR="00BA04F7" w:rsidRDefault="00BA04F7" w:rsidP="00BA04F7">
      <w:pPr>
        <w:tabs>
          <w:tab w:val="left" w:pos="567"/>
        </w:tabs>
        <w:spacing w:after="0" w:line="240" w:lineRule="auto"/>
        <w:jc w:val="center"/>
        <w:rPr>
          <w:rFonts w:ascii="Times New Roman" w:eastAsia="Calibri" w:hAnsi="Times New Roman" w:cs="Times New Roman"/>
          <w:lang w:eastAsia="lt-LT"/>
        </w:rPr>
      </w:pPr>
      <w:r>
        <w:rPr>
          <w:rFonts w:ascii="Times New Roman" w:eastAsia="Calibri" w:hAnsi="Times New Roman" w:cs="Times New Roman"/>
          <w:lang w:eastAsia="lt-LT"/>
        </w:rPr>
        <w:t>Natrio chloridas, kalio chloridas, kalcio chloridas</w:t>
      </w:r>
    </w:p>
    <w:p w:rsidR="00BA04F7" w:rsidRDefault="00BA04F7" w:rsidP="00BA04F7">
      <w:pPr>
        <w:tabs>
          <w:tab w:val="left" w:pos="567"/>
        </w:tabs>
        <w:spacing w:after="0" w:line="240" w:lineRule="auto"/>
        <w:jc w:val="center"/>
        <w:rPr>
          <w:rFonts w:ascii="Times New Roman" w:eastAsia="Calibri" w:hAnsi="Times New Roman" w:cs="Times New Roman"/>
          <w:b/>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Atidžiai perskaitykite visą šį lapelį, prieš pradėdami vartoti vaistą, nes jame pateikiama Jums svarbi informacija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Neišmeskite šio lapelio, nes vėl gali prireikti jį perskaityti.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Jeigu kiltų daugiau klausimų, kreipkitės į gydytoją, ligoninės vaistininką arba slaugytoją.</w:t>
      </w:r>
    </w:p>
    <w:p w:rsidR="00BA04F7" w:rsidRDefault="00BA04F7" w:rsidP="00BA04F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Šis vaistas skirtas tik Jums, todėl kitiems žmonėms jo duoti negalima. Vaistas gali jiems pakenkti (net tiems, kurių ligos požymiai yra tokie patys kaip Jūsų).</w:t>
      </w:r>
    </w:p>
    <w:p w:rsidR="00BA04F7" w:rsidRDefault="00BA04F7" w:rsidP="00BA04F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 xml:space="preserve">Jeigu pasireiškė šalutinis poveikis (net jei jis šiame lapelyje nenurodytas), kreipkitės į gydytoją, vaistininką arba slaugytoją. </w:t>
      </w:r>
      <w:r>
        <w:rPr>
          <w:rFonts w:ascii="Times New Roman" w:eastAsia="Calibri" w:hAnsi="Times New Roman" w:cs="Times New Roman"/>
          <w:noProof/>
          <w:lang w:eastAsia="lt-LT"/>
        </w:rPr>
        <w:t>Žr. 4 skyrių.</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Apie ką rašoma šiame lapelyje?</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1.</w:t>
      </w:r>
      <w:r>
        <w:rPr>
          <w:rFonts w:ascii="Times New Roman" w:eastAsia="Calibri" w:hAnsi="Times New Roman" w:cs="Times New Roman"/>
          <w:lang w:eastAsia="lt-LT"/>
        </w:rPr>
        <w:tab/>
        <w:t>Kas yra Ringer Fresenius ir kam jis vartojamas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2.</w:t>
      </w:r>
      <w:r>
        <w:rPr>
          <w:rFonts w:ascii="Times New Roman" w:eastAsia="Calibri" w:hAnsi="Times New Roman" w:cs="Times New Roman"/>
          <w:lang w:eastAsia="lt-LT"/>
        </w:rPr>
        <w:tab/>
        <w:t>Kas žinotina prieš vartojant Ringer Fresenius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3.</w:t>
      </w:r>
      <w:r>
        <w:rPr>
          <w:rFonts w:ascii="Times New Roman" w:eastAsia="Calibri" w:hAnsi="Times New Roman" w:cs="Times New Roman"/>
          <w:lang w:eastAsia="lt-LT"/>
        </w:rPr>
        <w:tab/>
        <w:t>Kaip vartoti Ringer Fresenius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4.</w:t>
      </w:r>
      <w:r>
        <w:rPr>
          <w:rFonts w:ascii="Times New Roman" w:eastAsia="Calibri" w:hAnsi="Times New Roman" w:cs="Times New Roman"/>
          <w:lang w:eastAsia="lt-LT"/>
        </w:rPr>
        <w:tab/>
        <w:t>Galimas šalutinis poveikis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5.</w:t>
      </w:r>
      <w:r>
        <w:rPr>
          <w:rFonts w:ascii="Times New Roman" w:eastAsia="Calibri" w:hAnsi="Times New Roman" w:cs="Times New Roman"/>
          <w:lang w:eastAsia="lt-LT"/>
        </w:rPr>
        <w:tab/>
        <w:t>Kaip laikyti Ringer Fresenius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6.</w:t>
      </w:r>
      <w:r>
        <w:rPr>
          <w:rFonts w:ascii="Times New Roman" w:eastAsia="Calibri" w:hAnsi="Times New Roman" w:cs="Times New Roman"/>
          <w:lang w:eastAsia="lt-LT"/>
        </w:rPr>
        <w:tab/>
        <w:t>Pakuotės turinys ir kita informacija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1.</w:t>
      </w:r>
      <w:r>
        <w:rPr>
          <w:rFonts w:ascii="Times New Roman" w:eastAsia="Calibri" w:hAnsi="Times New Roman" w:cs="Times New Roman"/>
          <w:b/>
          <w:lang w:eastAsia="lt-LT"/>
        </w:rPr>
        <w:tab/>
        <w:t>Kas yra Ringer Fresenius ir kam jis vartojamas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infuzinio tirpalo, kaip ir kitų daugiajonių tirpalų, farmakologinės savybės priklauso nuo jame esančių jonų.</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Natris yra pagrindinis ląstelės išorėje esančio skysčio katijonas, nuo kurio priklauso vandens pasiskirstymas organizme, skysčių ir elektrolitų pusiausvyra, organizmo skysčių osmosinis slėgis. Kartu su chloridais ir bikarbonato jonais jis reguliuoja rūgščių ir šarmų pusiausvyrą.</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Chloridas yra pagrindinis ląstelės išorėje esančio skysčio anijonas, kurio kiekiui kintant, keičiasi rūgščių ir šarmų pusiausvyra. Ringer Fresenius infuziniame tirpale yra didelis chloridų kiekis lyginant su kraujo plazma.</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Kalis yra pagrindinis ląstelės viduje esantis katijonas, būtinas šarmų ir rūgščių pusiausvyrai, izotoniškumui ir ląstelių elektrodinaminėms savybėms palaikyti. Kalio koncentracija tirpale šiek tiek mažesnė nei plazmoje.</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Kalcis yra svarbus katijonas, būtinas funkcinei nervų, raumenų ir skeleto sistemų integracijai, ląstelių membranų ir kapiliarų laidumui palaikyti.</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Šis vaistas vartojamas toliau išvardytais atvejais.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Ekstraląstelinio skysčio kiekio sunormalinimas izotoninės ir hipotoninės dehidracijos (vandens netekimo) atveju, pvz., daug vemiant, viduriuojant, nudegus, kai prarandama daug kraujo plazmos), ypač esant hipochloremijai (chloro kiekio kraujyje sumažėjimas).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Trumpalaikis cirkuliuojančio kraujo tūrio sunormalinimas hipovoleminio (sumažėjus kraujo tūriui) šoko atveju.</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Suderinamiems su Ringer Fresenius infuziniu tirpalu vaistams, vartojamiems į veną, skiesti, ar jų tirpalams gaminti.</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2.</w:t>
      </w:r>
      <w:r>
        <w:rPr>
          <w:rFonts w:ascii="Times New Roman" w:eastAsia="Calibri" w:hAnsi="Times New Roman" w:cs="Times New Roman"/>
          <w:b/>
          <w:lang w:eastAsia="lt-LT"/>
        </w:rPr>
        <w:tab/>
        <w:t>Kas žinotina prieš vartojant Ringer Fresenius</w:t>
      </w: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p>
    <w:p w:rsidR="00BA04F7" w:rsidRDefault="00BA04F7" w:rsidP="00BA04F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Ringer Fresenius infuzinio tirpalo vartoti negalima:</w:t>
      </w:r>
    </w:p>
    <w:p w:rsidR="00BA04F7" w:rsidRDefault="00BA04F7" w:rsidP="00BA04F7">
      <w:pPr>
        <w:tabs>
          <w:tab w:val="left" w:pos="567"/>
        </w:tabs>
        <w:spacing w:after="0" w:line="240" w:lineRule="auto"/>
        <w:jc w:val="both"/>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alergija veikliosioms medžiagoms arba bet kuriai pagalbinei šio vaisto medžiagai (jos </w:t>
      </w:r>
      <w:r>
        <w:rPr>
          <w:rFonts w:ascii="Times New Roman" w:eastAsia="Calibri" w:hAnsi="Times New Roman" w:cs="Times New Roman"/>
          <w:spacing w:val="-3"/>
          <w:lang w:eastAsia="lt-LT"/>
        </w:rPr>
        <w:tab/>
        <w:t>išvardytos 6 skyriuje).</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izotoninė ar hipertoninė hiperhidracija;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metabolinė acidozė;</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hipernatremija, hiperchloremija.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Įspėjimai ir atsargumo priemonės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Pasitarkite su gydytoju, vaistininku arba slaugytoju, prieš pradėdami vartoti Ringer Fresenius.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sergate sunkiomis širdies, inkstų, kepenų ligomis, pasakykite gydytojui, nes tokiu atveju reikia specialių atsargumo priemonių.</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0"/>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Gydytojas imsis ypatingų atsargumo priemonių, jeigu Jūs:</w:t>
      </w:r>
    </w:p>
    <w:p w:rsidR="00BA04F7" w:rsidRDefault="00BA04F7" w:rsidP="00BA04F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ūmine liga, jaučiate skausmą, yra pooperacinis stresas, infekcija, nudegimas arba sergate centrinės nervų sistemos liga;</w:t>
      </w:r>
    </w:p>
    <w:p w:rsidR="00BA04F7" w:rsidRDefault="00BA04F7" w:rsidP="00BA04F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bet kokia širdies, kepenų ar inkstų liga;</w:t>
      </w:r>
    </w:p>
    <w:p w:rsidR="00BA04F7" w:rsidRDefault="00BA04F7" w:rsidP="00BA04F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esate gydomi vazopresino (hormono, reguliuojančio vandens sulaikymą organizme) poveikį stiprinančiais vaistais, nes dėl to gali padidėti ligoninėje atsiradusio natrio kiekio kraujyje sumažėjimo (hiponatremijos) rizika.</w:t>
      </w:r>
    </w:p>
    <w:p w:rsidR="00BA04F7" w:rsidRDefault="00BA04F7" w:rsidP="00BA04F7">
      <w:pPr>
        <w:tabs>
          <w:tab w:val="left" w:pos="567"/>
        </w:tabs>
        <w:spacing w:after="0" w:line="240" w:lineRule="auto"/>
        <w:ind w:left="567" w:hanging="567"/>
        <w:rPr>
          <w:rFonts w:ascii="Times New Roman" w:eastAsia="Calibri" w:hAnsi="Times New Roman" w:cs="Times New Roman"/>
          <w:lang w:eastAsia="lt-LT"/>
        </w:rPr>
      </w:pP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Visų pacientų būklę būtina atidžiai stebėti. Jei dėl sustiprėjusios vazopresino (taip pat vadinamo antidiureziniu hormonu (ADH)) sekrecijos yra sutrikęs normalus vandens kiekio kraujyje reguliavimas, skysčių, kuriuose yra maža natrio chlorido koncentracija (hipotoninių tirpalų) infuzija gali lemti mažo natrio kiekio kraujyje atsiradimą (hiponatremiją). Tai gali sukelti galvos skausmą, pykinimą, traukulius, letargiją, komą, smegenų pabrinkimą (smegenų edemą) ir mirtį; dėl šios priežasties minėti simptomai (ūminė simptominė hiponatreminė encefalopatija) yra laikomi sunkia medicinine būkle.</w:t>
      </w: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vaisingo amžiaus moterims ir pacientams, kurie serga galvos smegenų liga (pvz., yra meningitas, kraujavimas į smegenis, galvos smegenų sumušimas ar galvos smegenų edema), yra ypač didelė sunkaus ir gyvybei pavojingo galvos smegenų pabrinkimo rizika, kurią sukelia ūminė hiponatremija.</w:t>
      </w: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p>
    <w:p w:rsidR="00BA04F7" w:rsidRDefault="00BA04F7" w:rsidP="00BA04F7">
      <w:pPr>
        <w:autoSpaceDE w:val="0"/>
        <w:autoSpaceDN w:val="0"/>
        <w:adjustRightInd w:val="0"/>
        <w:spacing w:after="0" w:line="240" w:lineRule="auto"/>
        <w:rPr>
          <w:rFonts w:ascii="Times New Roman" w:eastAsia="Times New Roman" w:hAnsi="Times New Roman" w:cs="Times New Roman"/>
          <w:b/>
          <w:lang w:eastAsia="de-DE"/>
        </w:rPr>
      </w:pPr>
      <w:r>
        <w:rPr>
          <w:rFonts w:ascii="Times New Roman" w:eastAsia="Times New Roman" w:hAnsi="Times New Roman" w:cs="Times New Roman"/>
          <w:b/>
          <w:lang w:eastAsia="de-DE"/>
        </w:rPr>
        <w:t>Vaikams ir paaugliams</w:t>
      </w: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yra ypač didelė sunkaus ir gyvybei pavojingo galvos smegenų pabrinkimo rizika, kurią sukelia ūminė hiponatremija.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Kiti vaistai ir Ringer Fresenius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vartojate ar neseniai vartojote kitų vaistų arba dėl to nesate tikri, apie tai pasakykite gydytojui arba vaistininkui.</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vartojama kartu su gliukortikoidais, karbenoksolonu ar kitais vaistais, kurie organizme sulaiko natrį ir vandenį, gali dažniau atsirasti arba pasunkėti edema bei padidėti kraujo spaudimas.</w:t>
      </w:r>
    </w:p>
    <w:p w:rsidR="00BA04F7" w:rsidRDefault="00BA04F7" w:rsidP="00BA04F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lang w:eastAsia="lt-LT"/>
        </w:rPr>
        <w:t>Kadangi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yra kalio, šis tirpalas, vartojamas kartu su kalį sulaikančiais diuretikais</w:t>
      </w:r>
      <w:r>
        <w:rPr>
          <w:rFonts w:ascii="Times New Roman" w:eastAsia="Calibri" w:hAnsi="Times New Roman" w:cs="Times New Roman"/>
          <w:spacing w:val="-3"/>
          <w:lang w:eastAsia="lt-LT"/>
        </w:rPr>
        <w:t xml:space="preserve"> (amiloridu, spironolaktonu, triamterenu), angiotenziną konvertuojančio fermento inhibitoriais, takrolimuzu arba ciklosporinu, didina kalio koncentraciją kraujo plazmoje, todėl pacientams, ypač sergantiems inkstų veiklos nepakankamumu, gali sukelti sunkią hiperkalemiją.</w:t>
      </w:r>
    </w:p>
    <w:p w:rsidR="00BA04F7" w:rsidRDefault="00BA04F7" w:rsidP="00BA04F7">
      <w:pPr>
        <w:tabs>
          <w:tab w:val="left" w:pos="567"/>
        </w:tabs>
        <w:spacing w:after="0" w:line="240" w:lineRule="auto"/>
        <w:rPr>
          <w:rFonts w:ascii="Times New Roman" w:eastAsia="Calibri" w:hAnsi="Times New Roman" w:cs="Times New Roman"/>
          <w:spacing w:val="-3"/>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esantis kalcis stiprina rusmenės glikozidų poveikį, todėl gali dažniau sutrikti širdies ritamas ar pasireikšti kitoks nepageidaujamas rusmenės glikozidų poveikis.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spacing w:val="-3"/>
          <w:lang w:eastAsia="lt-LT"/>
        </w:rPr>
        <w:t xml:space="preserve">Jei kartu su tiazidų grupės diuretikais, ergokalciferoliu (vitaminu D), vartojama </w:t>
      </w:r>
      <w:r>
        <w:rPr>
          <w:rFonts w:ascii="Times New Roman" w:eastAsia="Calibri" w:hAnsi="Times New Roman" w:cs="Times New Roman"/>
          <w:lang w:eastAsia="lt-LT"/>
        </w:rPr>
        <w:t>Ringer Fresenius infuzinio tirpalo, dažniau gali pasireikšti hiperkalcemija.</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sąveikos su kalciu, kurio yra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 xml:space="preserve">infuziniame tirpale, mažėja </w:t>
      </w:r>
      <w:r>
        <w:rPr>
          <w:rFonts w:ascii="Times New Roman" w:eastAsia="Calibri" w:hAnsi="Times New Roman" w:cs="Times New Roman"/>
          <w:spacing w:val="-3"/>
          <w:lang w:eastAsia="lt-LT"/>
        </w:rPr>
        <w:t>bifosfonatų, fluoridų, kai kurių fluorochinolonų ir tetraciklinų absorbcija.</w:t>
      </w:r>
    </w:p>
    <w:p w:rsidR="00BA04F7" w:rsidRDefault="00BA04F7" w:rsidP="00BA04F7">
      <w:pPr>
        <w:tabs>
          <w:tab w:val="left" w:pos="567"/>
        </w:tabs>
        <w:spacing w:after="0" w:line="240" w:lineRule="auto"/>
        <w:ind w:left="567" w:hanging="567"/>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Ypač svarbu pasakyti gydytojui, jeigu vartojate:</w:t>
      </w:r>
    </w:p>
    <w:p w:rsidR="00BA04F7" w:rsidRDefault="00BA04F7" w:rsidP="00BA04F7">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stiprinančių vazopresino poveikį (taip pat žr. aukščiau esantį poskyrį „Įspėjimai ir atsargumo priemonės“, pvz.:</w:t>
      </w:r>
    </w:p>
    <w:p w:rsidR="00BA04F7" w:rsidRDefault="00BA04F7" w:rsidP="00BA04F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vazopresino išsiskyrimą stimuliuojančių vaistų, pvz., antipsichozinių vaistų, narkotinių medžiagų);</w:t>
      </w:r>
    </w:p>
    <w:p w:rsidR="00BA04F7" w:rsidRDefault="00BA04F7" w:rsidP="00BA04F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vazopresino veikimą stiprinančių vaistų, pvz., nesteroidinių vaistų nuo uždegimo);</w:t>
      </w:r>
    </w:p>
    <w:p w:rsidR="00BA04F7" w:rsidRDefault="00BA04F7" w:rsidP="00BA04F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veikiančių kaip vazopresinas (vadinamųjų vazopresino analogų);</w:t>
      </w:r>
    </w:p>
    <w:p w:rsidR="00BA04F7" w:rsidRDefault="00BA04F7" w:rsidP="00BA04F7">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kitų hiponatremijos riziką didinančių vaistų, įskaitant šlapimo išsiskyrimą skatinančius vaistus apskritai ir vaistus nuo epilepsijos.</w:t>
      </w:r>
    </w:p>
    <w:p w:rsidR="00BA04F7" w:rsidRDefault="00BA04F7" w:rsidP="00BA04F7">
      <w:pPr>
        <w:tabs>
          <w:tab w:val="left" w:pos="567"/>
        </w:tabs>
        <w:spacing w:after="0" w:line="240" w:lineRule="auto"/>
        <w:rPr>
          <w:rFonts w:ascii="Times New Roman" w:eastAsia="Calibri" w:hAnsi="Times New Roman" w:cs="Times New Roman"/>
          <w:b/>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Nėštumas, žindymo laikotarpis ir vaisingumas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esate nėščia, žindote kūdikį, manote, kad galbūt esate nėščia arba planuojate pastoti, tai prieš vartodama šį vaistą pasitarkite su gydytoju arba vaistininku.</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Nėštumas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Duomenų apie Ringer Fresenius infuzinio tirpalo vartojimą nėščioms moterims nepakanka.</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Specialių atsargumo priemonių reikia laikytis, jeigu pasireiškia specifiniai nėštumo laikotarpio sutrikimai, įskaitant eklampsiją: per didelis kraujo spaudimas, mėšlungis, patinimai.</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Dėl hiponatremijos rizikos ypatingų atsargumo priemonių reikia imtis šio vaisto vartojant nėščioms moterims gimdymo metu, ypač jei šis vaistas skiriamas kartu su oksitocinu (hormonu, kurio gali būti vartojama gimdymui sukelti ir kraujavimui kontroliuoti).</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Žindymas</w:t>
      </w:r>
    </w:p>
    <w:p w:rsidR="00BA04F7" w:rsidRDefault="00BA04F7" w:rsidP="00BA04F7">
      <w:pPr>
        <w:tabs>
          <w:tab w:val="left" w:pos="567"/>
        </w:tabs>
        <w:spacing w:after="0" w:line="240" w:lineRule="auto"/>
        <w:rPr>
          <w:rFonts w:ascii="Times New Roman" w:eastAsia="Calibri" w:hAnsi="Times New Roman" w:cs="Times New Roman"/>
          <w:noProof/>
          <w:kern w:val="16"/>
        </w:rPr>
      </w:pPr>
      <w:r>
        <w:rPr>
          <w:rFonts w:ascii="Times New Roman" w:eastAsia="Calibri" w:hAnsi="Times New Roman" w:cs="Times New Roman"/>
          <w:noProof/>
          <w:kern w:val="16"/>
        </w:rPr>
        <w:t>Ar vaisto išsiskiria į motinos pieną, nežinoma. Kadangi daugelis vaistinių medžiagų patenka į motinos pieną, kūdikį žindančioms moterims skirti Ringer Fresenius infuzinio tirpalo reikia atsargiai.</w:t>
      </w: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Nepastebėta, kad vartojant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pasireikštų embriotoksinis ar teratogeninis poveikis.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Vairavimas ir mechanizmų valdymas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infuzinis tirpalas gebėjimo vairuoti ir valdyti mechanizmus neveikia.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3.</w:t>
      </w:r>
      <w:r>
        <w:rPr>
          <w:rFonts w:ascii="Times New Roman" w:eastAsia="Calibri" w:hAnsi="Times New Roman" w:cs="Times New Roman"/>
          <w:b/>
          <w:lang w:eastAsia="lt-LT"/>
        </w:rPr>
        <w:tab/>
        <w:t>Kaip vartoti Ringer Fresenius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visada vartokite tiksliai, kaip nurodė gydytojas. Jei abejojate, kreipkitės į gydytoją arba vaistininką.</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infuzinis tirpalas leidžiamas arba lašinamas į veną.</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Dozė parenkama individualiai, atsižvelgiant į paciento amžių, kūno svorį, klinikinę būklę, dehidracijos laipsnį, elektrolitų ir rūgščių bei šarmų pusiausvyrą.</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Suaugusiems žmonėms tirpalo paros dozė yra 30-45 ml/kg kūno svorio. Per parą reikėtų suleisti ne daugiau kaip 3000 ml tirpalo. Infuzijos greitis kiekvienam pacientui yra individualus, paprastai jis yra 120 – 180 lašų per minutę.</w:t>
      </w:r>
    </w:p>
    <w:p w:rsidR="00BA04F7" w:rsidRDefault="00BA04F7" w:rsidP="00BA04F7">
      <w:pPr>
        <w:tabs>
          <w:tab w:val="left" w:pos="567"/>
        </w:tabs>
        <w:spacing w:after="0" w:line="240" w:lineRule="auto"/>
        <w:contextualSpacing/>
        <w:rPr>
          <w:rFonts w:ascii="Times New Roman" w:eastAsia="Calibri" w:hAnsi="Times New Roman" w:cs="Times New Roman"/>
          <w:u w:val="single"/>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u w:val="single"/>
          <w:lang w:eastAsia="lt-LT"/>
        </w:rPr>
      </w:pPr>
      <w:r>
        <w:rPr>
          <w:rFonts w:ascii="Times New Roman" w:eastAsia="Calibri" w:hAnsi="Times New Roman" w:cs="Times New Roman"/>
          <w:u w:val="single"/>
          <w:lang w:eastAsia="lt-LT"/>
        </w:rPr>
        <w:t>Ypatingos populiacijos</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Senyviems pacientams</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Senyviems pacientams tirpalo paros dozė yra 30-45 ml/kg kūno svorio (500 ml -3 l per 24 val.).</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Pacientams, kurių inkstų/kepenų funkcija sutrikusi</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Jei inkstų ar kepenų funcija sutrikusi nesunkiai, paros dozė tokiems pacientams yra ne didesnė kaip 40 ml/kg kūno svorio.</w:t>
      </w: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Paaugliams</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Paaugliams tirpalo paros dozė yra 30-45 ml/kg kūno svorio (500 ml -3 l per 24 val.).</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Vaikų populiacija</w:t>
      </w: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p>
    <w:p w:rsidR="00BA04F7" w:rsidRDefault="00BA04F7" w:rsidP="00BA04F7">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Naujagimiams ir vaikams</w:t>
      </w:r>
    </w:p>
    <w:p w:rsidR="00BA04F7" w:rsidRDefault="00BA04F7" w:rsidP="00BA04F7">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Naujagimiams ir vaikams - 20 -100 ml/kg kūno svorio per 24 val.</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galima vartoti kartu su kitais plazmos pakaitalais, krauju bei plazma.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Ką daryti pavartojus per didelę Ringer Fresenius dozę?</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Sulašinus didesnį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kiekį, gali atsirasti pabrinkimų, sutrikti elektrolitų pusiausvyra.</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Toksinį poveikį sukelia 100 - 150 g natrio chlorido dozė. Apsinuodijus atsiranda CNS pažeidimo simptomų: traukuliai, smegenų pabrinkimas, padidėja kūno temperatūra (“druskos” karštinė). Tokiu atveju būtina atidžiai stebėti, kiek parenteraliniu būdu vartojama ir išgeriama skysčių ir kiek jų pašalinama su šlapimu. Būtina dažnai tikrinti visus kraujo rodmenis.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4.</w:t>
      </w:r>
      <w:r>
        <w:rPr>
          <w:rFonts w:ascii="Times New Roman" w:eastAsia="Calibri" w:hAnsi="Times New Roman" w:cs="Times New Roman"/>
          <w:b/>
          <w:lang w:eastAsia="lt-LT"/>
        </w:rPr>
        <w:tab/>
        <w:t>Galimas šalutinis poveikis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Šis vaistas, kaip ir visi kiti, gali sukelti šalutinį poveikį, nors jis pasireiškia ne visiems žmonėms.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0"/>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Nepageidaujamo poveikio dažnis apibūdinamas taip: labai dažni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 1/10), dažni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1/100 iki &lt;1/10), nedažni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1/1000 iki &lt;1/100), reti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1/10000 iki &lt;1/1000), labai reti (&lt;1/10000), dažnis nežinomas (negali būti įvertintas pagal turimus duomenis).</w:t>
      </w:r>
    </w:p>
    <w:p w:rsidR="00BA04F7" w:rsidRDefault="00BA04F7" w:rsidP="00BA04F7">
      <w:pPr>
        <w:tabs>
          <w:tab w:val="left" w:pos="567"/>
        </w:tabs>
        <w:spacing w:after="0" w:line="240" w:lineRule="auto"/>
        <w:ind w:left="567" w:hanging="567"/>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i/>
          <w:lang w:eastAsia="lt-LT"/>
        </w:rPr>
        <w:t xml:space="preserve">Nedažni </w:t>
      </w:r>
      <w:r>
        <w:rPr>
          <w:rFonts w:ascii="Times New Roman" w:eastAsia="Calibri" w:hAnsi="Times New Roman" w:cs="Times New Roman"/>
          <w:lang w:eastAsia="lt-LT"/>
        </w:rPr>
        <w:t xml:space="preserve">(nuo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 iki &lt;1/100)</w:t>
      </w:r>
    </w:p>
    <w:p w:rsidR="00BA04F7" w:rsidRDefault="00BA04F7" w:rsidP="00BA04F7">
      <w:pPr>
        <w:tabs>
          <w:tab w:val="left" w:pos="567"/>
        </w:tabs>
        <w:spacing w:after="0" w:line="240" w:lineRule="auto"/>
        <w:ind w:left="567" w:hanging="567"/>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Širdies sutrikimai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Pacientams, sergantiems širdies ir kraujagyslių sistemos nepakankamumu, sulašinus per didelį Ringer Fresenius infuzinio tirpalo kiekį, dėl per didelio natrio kiekio didėja skysčio, susikaupusio neląsteliniuose tarpuose tūris, gali pasireikšti širdies aritmija, pasunkėti stazinis širdies nepakankamumas, atsirasti širdies blokada, pokyčiai EKG, širdies sustojimas.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Virškinimo trakto sutrikimai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Kalio perteklius gali sukelti pykinimą, vėmimą, pilvo skausmą, viduriavimą, žarnyno nepraeinamumą ir jo išsiplėtimą. Pacientams, sergantiems kepenų funkcijos nepakankamumu, sulašinus per didelį Ringer Fresenius infuzinio tirpalo kiekį, gali pablogėti kepenų funkcija.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Inkstų ir šlapimo takų sutrikimai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Pacientams, sergantiems inkstų funkcijos sutrikimu, sulašinus per daug Ringer Fresenius infuzinio tirpalo, dėl per didelio chloridų jonų kiekio mažėja bikarbonatų kiekis, pasireiškia organizmo skysčių parūgštėjimas, įskaitant šlapimą, inkstų funkcija gali pablogėti.</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 xml:space="preserve">Reti (nuo </w:t>
      </w:r>
      <w:r>
        <w:rPr>
          <w:rFonts w:ascii="Times New Roman" w:eastAsia="Calibri" w:hAnsi="Times New Roman" w:cs="Times New Roman"/>
          <w:i/>
          <w:lang w:eastAsia="lt-LT"/>
        </w:rPr>
        <w:sym w:font="Symbol" w:char="F0B3"/>
      </w:r>
      <w:r>
        <w:rPr>
          <w:rFonts w:ascii="Times New Roman" w:eastAsia="Calibri" w:hAnsi="Times New Roman" w:cs="Times New Roman"/>
          <w:i/>
          <w:lang w:eastAsia="lt-LT"/>
        </w:rPr>
        <w:t>1/10000 iki &lt;1/1000)</w:t>
      </w:r>
    </w:p>
    <w:p w:rsidR="00BA04F7" w:rsidRDefault="00BA04F7" w:rsidP="00BA04F7">
      <w:pPr>
        <w:tabs>
          <w:tab w:val="left" w:pos="567"/>
        </w:tabs>
        <w:spacing w:after="0" w:line="240" w:lineRule="auto"/>
        <w:rPr>
          <w:rFonts w:ascii="Times New Roman" w:eastAsia="Calibri" w:hAnsi="Times New Roman" w:cs="Times New Roman"/>
          <w:u w:val="single"/>
          <w:lang w:eastAsia="lt-LT"/>
        </w:rPr>
      </w:pPr>
    </w:p>
    <w:p w:rsidR="00BA04F7" w:rsidRDefault="00BA04F7" w:rsidP="00BA04F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Bendrieji sutrikimai ir vartojimo vietos pažeidimai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nepakankamos intraveninių sistemų kokybės ar netinkamo tirpalo leidimo gali prasidėti karščiavimas, injekcijos vietoje atsirasti uždegimas, venų trombozė, flebitas (kartais jis išplinta į šalia venos esančius audinius). Be to, injekcijos metu į šalia kraujagyslės esančius audinius gali patekti injekuojamo tirpalo arba iš pradurtos kraujagyslės kraujo, todėl injekcijos vieta gali patinti, skaudėti, gali atsirasti poodinė kraujosruva.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i/>
          <w:lang w:eastAsia="lt-LT"/>
        </w:rPr>
        <w:t xml:space="preserve">Labai reti </w:t>
      </w:r>
      <w:r>
        <w:rPr>
          <w:rFonts w:ascii="Times New Roman" w:eastAsia="Calibri" w:hAnsi="Times New Roman" w:cs="Times New Roman"/>
          <w:lang w:eastAsia="lt-LT"/>
        </w:rPr>
        <w:t xml:space="preserve">(nuo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1/10000 iki &lt;1/1000)</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Nervų sistemos sutrikimai</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per didelio kalcio kiekio gali pasireikšti depresija, amnezija, galvos skausmas, mieguistumas, haliucinacijos, skeleto ir lygiųjų raumenų hipotonija, apalpimas, sutrikti orientacija, rijimo funkcija.</w:t>
      </w:r>
    </w:p>
    <w:p w:rsidR="00BA04F7" w:rsidRDefault="00BA04F7" w:rsidP="00BA04F7">
      <w:pPr>
        <w:tabs>
          <w:tab w:val="left" w:pos="567"/>
        </w:tabs>
        <w:spacing w:after="0" w:line="240" w:lineRule="auto"/>
        <w:rPr>
          <w:rFonts w:ascii="Times New Roman" w:eastAsia="Calibri" w:hAnsi="Times New Roman" w:cs="Times New Roman"/>
          <w:u w:val="single"/>
          <w:lang w:eastAsia="lt-LT"/>
        </w:rPr>
      </w:pPr>
    </w:p>
    <w:p w:rsidR="00BA04F7" w:rsidRDefault="00BA04F7" w:rsidP="00BA04F7">
      <w:pPr>
        <w:keepNext/>
        <w:keepLines/>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Dažnis nežinomas (negali būti apskaičiuotas pagal turimus duomenis)</w:t>
      </w:r>
    </w:p>
    <w:p w:rsidR="00BA04F7" w:rsidRDefault="00BA04F7" w:rsidP="00BA04F7">
      <w:pPr>
        <w:keepNext/>
        <w:keepLines/>
        <w:tabs>
          <w:tab w:val="left" w:pos="567"/>
        </w:tabs>
        <w:spacing w:after="0" w:line="240" w:lineRule="auto"/>
        <w:rPr>
          <w:rFonts w:ascii="Times New Roman" w:eastAsia="Calibri" w:hAnsi="Times New Roman" w:cs="Times New Roman"/>
          <w:i/>
          <w:lang w:eastAsia="lt-LT"/>
        </w:rPr>
      </w:pPr>
    </w:p>
    <w:p w:rsidR="00BA04F7" w:rsidRDefault="00BA04F7" w:rsidP="00BA04F7">
      <w:pPr>
        <w:keepNext/>
        <w:keepLines/>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Galvos skausmas, pykinimas, traukuliai, mieguistumas. Tai gali sukelti mažas natrio kiekis kraujyje. Kai natrio kiekis kraujyje tampa labai mažas, vanduo patenka į smegenų ląsteles ir sukelia jų pabrinkimą. Dėl to didėja kaukolės spaudimas ir pasireiškia hiponatreminę encefalopatiją.</w:t>
      </w:r>
    </w:p>
    <w:p w:rsidR="00BA04F7" w:rsidRDefault="00BA04F7" w:rsidP="00BA04F7">
      <w:pPr>
        <w:keepNext/>
        <w:keepLines/>
        <w:tabs>
          <w:tab w:val="left" w:pos="567"/>
        </w:tabs>
        <w:spacing w:after="0" w:line="240" w:lineRule="auto"/>
        <w:rPr>
          <w:rFonts w:ascii="Times New Roman" w:eastAsia="Calibri" w:hAnsi="Times New Roman" w:cs="Times New Roman"/>
          <w:u w:val="single"/>
          <w:lang w:eastAsia="lt-LT"/>
        </w:rPr>
      </w:pPr>
    </w:p>
    <w:p w:rsidR="00BA04F7" w:rsidRDefault="00BA04F7" w:rsidP="00BA04F7">
      <w:pPr>
        <w:keepNext/>
        <w:keepLines/>
        <w:spacing w:after="0" w:line="240" w:lineRule="auto"/>
        <w:rPr>
          <w:rFonts w:ascii="Times New Roman" w:eastAsia="Calibri" w:hAnsi="Times New Roman" w:cs="Times New Roman"/>
          <w:b/>
          <w:lang w:eastAsia="lt-LT"/>
        </w:rPr>
      </w:pPr>
      <w:r>
        <w:rPr>
          <w:rFonts w:ascii="Times New Roman" w:eastAsia="Calibri" w:hAnsi="Times New Roman" w:cs="Times New Roman"/>
          <w:b/>
          <w:noProof/>
          <w:lang w:eastAsia="lt-LT"/>
        </w:rPr>
        <w:t>Pranešimas apie šalutinį poveikį</w:t>
      </w:r>
    </w:p>
    <w:p w:rsidR="00BA04F7" w:rsidRDefault="00BA04F7" w:rsidP="00BA04F7">
      <w:pPr>
        <w:keepNext/>
        <w:keepLines/>
        <w:spacing w:after="0" w:line="240" w:lineRule="auto"/>
        <w:ind w:right="-449"/>
        <w:rPr>
          <w:rFonts w:ascii="Times New Roman" w:eastAsia="Calibri" w:hAnsi="Times New Roman" w:cs="Times New Roman"/>
          <w:noProof/>
          <w:szCs w:val="24"/>
          <w:lang w:eastAsia="lt-LT"/>
        </w:rPr>
      </w:pPr>
      <w:r>
        <w:rPr>
          <w:rFonts w:ascii="Times New Roman" w:eastAsia="Calibri" w:hAnsi="Times New Roman" w:cs="Times New Roman"/>
          <w:noProof/>
          <w:lang w:eastAsia="lt-LT"/>
        </w:rPr>
        <w:t xml:space="preserve">Jeigu pasireiškė šalutinis poveikis, įskaitant šiame lapelyje nenurodytą, pasakykite gydytojui, vaistininkui arba </w:t>
      </w:r>
      <w:r>
        <w:rPr>
          <w:rFonts w:ascii="Times New Roman" w:eastAsia="Calibri" w:hAnsi="Times New Roman" w:cs="Times New Roman"/>
          <w:lang w:eastAsia="lt-LT"/>
        </w:rPr>
        <w:t>slaugytojui.</w:t>
      </w:r>
      <w:r>
        <w:rPr>
          <w:rFonts w:ascii="Times New Roman" w:eastAsia="Calibri" w:hAnsi="Times New Roman" w:cs="Times New Roman"/>
          <w:noProof/>
          <w:lang w:eastAsia="lt-LT"/>
        </w:rPr>
        <w:t xml:space="preserve"> </w:t>
      </w:r>
      <w:r>
        <w:rPr>
          <w:rFonts w:ascii="Times New Roman" w:eastAsia="Calibri" w:hAnsi="Times New Roman" w:cs="Times New Roman"/>
          <w:szCs w:val="20"/>
          <w:lang w:eastAsia="lt-LT"/>
        </w:rPr>
        <w:t>Apie šalutinį poveikį taip pat galite pranešti Valstybinei vaistų kontrolės tarnybai prie Lietuvos Respublikos sveikatos apsaugos ministerijos nemokamu t</w:t>
      </w:r>
      <w:r>
        <w:rPr>
          <w:rFonts w:ascii="Times New Roman" w:eastAsia="Calibri" w:hAnsi="Times New Roman" w:cs="Times New Roman"/>
          <w:szCs w:val="20"/>
          <w:lang w:eastAsia="zh-CN"/>
        </w:rPr>
        <w:t>elefonu 8 800 73568</w:t>
      </w:r>
      <w:r>
        <w:rPr>
          <w:rFonts w:ascii="Times New Roman" w:eastAsia="Calibri" w:hAnsi="Times New Roman" w:cs="Times New Roman"/>
          <w:szCs w:val="20"/>
          <w:lang w:eastAsia="lt-LT"/>
        </w:rPr>
        <w:t xml:space="preserve"> arba užpildyti interneto svetainėje </w:t>
      </w:r>
      <w:hyperlink r:id="rId5" w:history="1">
        <w:r>
          <w:rPr>
            <w:rStyle w:val="Hyperlink"/>
            <w:rFonts w:eastAsia="SimSun"/>
            <w:szCs w:val="20"/>
          </w:rPr>
          <w:t>www.vvkt.lt</w:t>
        </w:r>
      </w:hyperlink>
      <w:r>
        <w:rPr>
          <w:rFonts w:ascii="Times New Roman" w:eastAsia="Calibri"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szCs w:val="20"/>
          <w:lang w:eastAsia="zh-CN"/>
        </w:rPr>
        <w:t xml:space="preserve">nemokamu </w:t>
      </w:r>
      <w:r>
        <w:rPr>
          <w:rFonts w:ascii="Times New Roman" w:eastAsia="Calibri" w:hAnsi="Times New Roman" w:cs="Times New Roman"/>
          <w:szCs w:val="20"/>
          <w:lang w:eastAsia="lt-LT"/>
        </w:rPr>
        <w:t>fakso numeriu 8 800 20131</w:t>
      </w:r>
      <w:r>
        <w:rPr>
          <w:rFonts w:ascii="Times New Roman" w:eastAsia="Calibri" w:hAnsi="Times New Roman" w:cs="Times New Roman"/>
          <w:szCs w:val="20"/>
          <w:lang w:eastAsia="zh-CN"/>
        </w:rPr>
        <w:t xml:space="preserve">, </w:t>
      </w:r>
      <w:r>
        <w:rPr>
          <w:rFonts w:ascii="Times New Roman" w:eastAsia="Calibri" w:hAnsi="Times New Roman" w:cs="Times New Roman"/>
          <w:szCs w:val="20"/>
          <w:lang w:eastAsia="lt-LT"/>
        </w:rPr>
        <w:t xml:space="preserve">el. paštu </w:t>
      </w:r>
      <w:hyperlink r:id="rId6" w:history="1">
        <w:r>
          <w:rPr>
            <w:rStyle w:val="Hyperlink"/>
            <w:rFonts w:eastAsia="SimSun"/>
            <w:szCs w:val="20"/>
          </w:rPr>
          <w:t>NepageidaujamaR@vvkt.lt</w:t>
        </w:r>
      </w:hyperlink>
      <w:r>
        <w:rPr>
          <w:rFonts w:ascii="Times New Roman" w:eastAsia="Calibri" w:hAnsi="Times New Roman" w:cs="Times New Roman"/>
          <w:szCs w:val="20"/>
          <w:lang w:eastAsia="lt-LT"/>
        </w:rPr>
        <w:t xml:space="preserve">, taip pat per Valstybinės vaistų kontrolės tarnybos prie Lietuvos Respublikos sveikatos apsaugos ministerijos interneto svetainę (adresu </w:t>
      </w:r>
      <w:hyperlink r:id="rId7" w:history="1">
        <w:r>
          <w:rPr>
            <w:rStyle w:val="Hyperlink"/>
            <w:rFonts w:eastAsia="SimSun"/>
            <w:szCs w:val="20"/>
          </w:rPr>
          <w:t>http://www.vvkt.lt</w:t>
        </w:r>
      </w:hyperlink>
      <w:r>
        <w:rPr>
          <w:rFonts w:ascii="Times New Roman" w:eastAsia="Calibri" w:hAnsi="Times New Roman" w:cs="Times New Roman"/>
          <w:szCs w:val="20"/>
          <w:lang w:eastAsia="lt-LT"/>
        </w:rPr>
        <w:t>). Pranešdami apie šalutinį poveikį galite mums padėti gauti daugiau informacijos apie šio vaisto saugumą.</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5.</w:t>
      </w:r>
      <w:r>
        <w:rPr>
          <w:rFonts w:ascii="Times New Roman" w:eastAsia="Calibri" w:hAnsi="Times New Roman" w:cs="Times New Roman"/>
          <w:b/>
          <w:lang w:eastAsia="lt-LT"/>
        </w:rPr>
        <w:tab/>
        <w:t>Kaip laikyti Ringer Fresenius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numPr>
          <w:ilvl w:val="12"/>
          <w:numId w:val="0"/>
        </w:numPr>
        <w:tabs>
          <w:tab w:val="left" w:pos="567"/>
        </w:tabs>
        <w:spacing w:after="0" w:line="240" w:lineRule="auto"/>
        <w:ind w:right="-2"/>
        <w:rPr>
          <w:rFonts w:ascii="Times New Roman" w:eastAsia="Calibri" w:hAnsi="Times New Roman" w:cs="Times New Roman"/>
          <w:lang w:eastAsia="lt-LT"/>
        </w:rPr>
      </w:pPr>
      <w:r>
        <w:rPr>
          <w:rFonts w:ascii="Times New Roman" w:eastAsia="Calibri" w:hAnsi="Times New Roman" w:cs="Times New Roman"/>
          <w:lang w:eastAsia="lt-LT"/>
        </w:rPr>
        <w:t>Šį vaistą laikykite vaikams nepastebimoje ir nepasiekiamoje vietoje.</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Ant dėžutės ir buteliuko po „EXP“ nurodytam tinkamumo laikui pasibaigus, šio vaisto vartoti negalima. Vaistas tinkamas vartoti iki paskutinės nurodyto mėnesio dienos.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lang w:eastAsia="lt-LT"/>
        </w:rPr>
        <w:t>Negalima užšaldyti.</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Vartoti galima tik visiškai skaidrų tirpalą, kurio pakuotė nepažeista.</w:t>
      </w:r>
    </w:p>
    <w:p w:rsidR="00BA04F7" w:rsidRDefault="00BA04F7" w:rsidP="00BA04F7">
      <w:pPr>
        <w:tabs>
          <w:tab w:val="left" w:pos="567"/>
        </w:tabs>
        <w:spacing w:after="0" w:line="240" w:lineRule="auto"/>
        <w:rPr>
          <w:rFonts w:ascii="Times New Roman" w:eastAsia="Calibri" w:hAnsi="Times New Roman" w:cs="Times New Roman"/>
          <w:noProof/>
          <w:kern w:val="16"/>
        </w:rPr>
      </w:pPr>
      <w:r>
        <w:rPr>
          <w:rFonts w:ascii="Times New Roman" w:eastAsia="Calibri" w:hAnsi="Times New Roman" w:cs="Times New Roman"/>
          <w:noProof/>
          <w:kern w:val="16"/>
        </w:rPr>
        <w:t>Atidarius talpyklę, infuzinį tirpalą vartoti nedelsiant. Nesuvartotą vaisto likutį išmesti.</w:t>
      </w:r>
    </w:p>
    <w:p w:rsidR="00BA04F7" w:rsidRDefault="00BA04F7" w:rsidP="00BA04F7">
      <w:pPr>
        <w:numPr>
          <w:ilvl w:val="12"/>
          <w:numId w:val="0"/>
        </w:numPr>
        <w:tabs>
          <w:tab w:val="left" w:pos="567"/>
        </w:tabs>
        <w:spacing w:after="0" w:line="240" w:lineRule="auto"/>
        <w:ind w:right="-2"/>
        <w:rPr>
          <w:rFonts w:ascii="Times New Roman" w:eastAsia="Calibri" w:hAnsi="Times New Roman" w:cs="Times New Roman"/>
          <w:lang w:eastAsia="lt-LT"/>
        </w:rPr>
      </w:pPr>
    </w:p>
    <w:p w:rsidR="00BA04F7" w:rsidRDefault="00BA04F7" w:rsidP="00BA04F7">
      <w:pPr>
        <w:numPr>
          <w:ilvl w:val="12"/>
          <w:numId w:val="0"/>
        </w:numPr>
        <w:tabs>
          <w:tab w:val="left" w:pos="567"/>
        </w:tabs>
        <w:spacing w:after="0" w:line="240" w:lineRule="auto"/>
        <w:ind w:right="-2"/>
        <w:rPr>
          <w:rFonts w:ascii="Times New Roman" w:eastAsia="Calibri" w:hAnsi="Times New Roman" w:cs="Times New Roman"/>
          <w:lang w:eastAsia="lt-LT"/>
        </w:rPr>
      </w:pPr>
      <w:r>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rsidR="00BA04F7" w:rsidRDefault="00BA04F7" w:rsidP="00BA04F7">
      <w:pPr>
        <w:numPr>
          <w:ilvl w:val="12"/>
          <w:numId w:val="0"/>
        </w:numPr>
        <w:tabs>
          <w:tab w:val="left" w:pos="567"/>
        </w:tabs>
        <w:spacing w:after="0" w:line="240" w:lineRule="auto"/>
        <w:ind w:right="-2"/>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6.</w:t>
      </w:r>
      <w:r>
        <w:rPr>
          <w:rFonts w:ascii="Times New Roman" w:eastAsia="Calibri" w:hAnsi="Times New Roman" w:cs="Times New Roman"/>
          <w:b/>
          <w:lang w:eastAsia="lt-LT"/>
        </w:rPr>
        <w:tab/>
        <w:t>Pakuotės turinys ir kita informacija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b/>
          <w:bCs/>
          <w:lang w:eastAsia="lt-LT"/>
        </w:rPr>
        <w:t>Ringer Fresenius</w:t>
      </w:r>
      <w:r>
        <w:rPr>
          <w:rFonts w:ascii="Times New Roman" w:eastAsia="Calibri" w:hAnsi="Times New Roman" w:cs="Times New Roman"/>
          <w:b/>
          <w:lang w:eastAsia="lt-LT"/>
        </w:rPr>
        <w:t xml:space="preserve"> sudėtis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Veikliosios medžiagos yra natrio chloridas, kalio chloridas, kalcio chloridas.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1000 ml infuzinio tirpalo yra 8,6 g natrio chlorido, 0,3 g kalio chlorido, 0,33 g kalcio chlorido (dihidrato pavidalu).</w:t>
      </w:r>
    </w:p>
    <w:p w:rsidR="00BA04F7" w:rsidRDefault="00BA04F7" w:rsidP="00BA04F7">
      <w:pPr>
        <w:tabs>
          <w:tab w:val="left" w:pos="567"/>
        </w:tabs>
        <w:spacing w:after="0" w:line="240" w:lineRule="auto"/>
        <w:ind w:left="567" w:hanging="567"/>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Pagalbinės medžiagos yra injekcinis vanduo ir natrio hidroksidas (pH koreguoti).</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Elektrolitų koncentracija: Na</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147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Cl</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156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K</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4 mmol/l, Ca</w:t>
      </w:r>
      <w:r>
        <w:rPr>
          <w:rFonts w:ascii="Times New Roman" w:eastAsia="Calibri" w:hAnsi="Times New Roman" w:cs="Times New Roman"/>
          <w:vertAlign w:val="superscript"/>
          <w:lang w:eastAsia="lt-LT"/>
        </w:rPr>
        <w:t>2+</w:t>
      </w:r>
      <w:r>
        <w:rPr>
          <w:rFonts w:ascii="Times New Roman" w:eastAsia="Calibri" w:hAnsi="Times New Roman" w:cs="Times New Roman"/>
          <w:lang w:eastAsia="lt-LT"/>
        </w:rPr>
        <w:t xml:space="preserve"> – 2,3 mmol/l.</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Tirpalo pH – 5,2-6,8, osmosinis slėgis – maždaug 310 mosm/kg.</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b/>
          <w:bCs/>
          <w:lang w:eastAsia="lt-LT"/>
        </w:rPr>
        <w:t>Ringer Fresenius</w:t>
      </w:r>
      <w:r>
        <w:rPr>
          <w:rFonts w:ascii="Times New Roman" w:eastAsia="Calibri" w:hAnsi="Times New Roman" w:cs="Times New Roman"/>
          <w:b/>
          <w:lang w:eastAsia="lt-LT"/>
        </w:rPr>
        <w:t xml:space="preserve"> išvaizda ir kiekis pakuotėje</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Tirpalas yra skaidrus, bespalvis.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infuzinis tirpalas tiekiamas polietileno buteliuke su dangteliu (</w:t>
      </w:r>
      <w:r>
        <w:rPr>
          <w:rFonts w:ascii="Times New Roman" w:eastAsia="Calibri" w:hAnsi="Times New Roman" w:cs="Times New Roman"/>
          <w:i/>
          <w:lang w:eastAsia="lt-LT"/>
        </w:rPr>
        <w:t>EuroCap</w:t>
      </w:r>
      <w:r>
        <w:rPr>
          <w:rFonts w:ascii="Times New Roman" w:eastAsia="Calibri" w:hAnsi="Times New Roman" w:cs="Times New Roman"/>
          <w:lang w:eastAsia="lt-LT"/>
        </w:rPr>
        <w:t>). Buteliuke yra 500 ml arba 1000 ml infuzinio tirpalo.</w:t>
      </w:r>
    </w:p>
    <w:p w:rsidR="00BA04F7" w:rsidRDefault="00BA04F7" w:rsidP="00BA04F7">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Dėžutėje yra 10 arba 20 buteliukų po 500 ml arba 10 buteliukų po 1000 ml.</w:t>
      </w:r>
    </w:p>
    <w:p w:rsidR="00BA04F7" w:rsidRDefault="00BA04F7" w:rsidP="00BA04F7">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p>
    <w:p w:rsidR="00BA04F7" w:rsidRDefault="00BA04F7" w:rsidP="00BA04F7">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infuzinis tirpalas taip pat tiekiamas polipropileno buteliuke su dangteliu (</w:t>
      </w:r>
      <w:r>
        <w:rPr>
          <w:rFonts w:ascii="Times New Roman" w:eastAsia="Calibri" w:hAnsi="Times New Roman" w:cs="Times New Roman"/>
          <w:i/>
          <w:lang w:eastAsia="lt-LT"/>
        </w:rPr>
        <w:t>KabiClear</w:t>
      </w:r>
      <w:r>
        <w:rPr>
          <w:rFonts w:ascii="Times New Roman" w:eastAsia="Calibri" w:hAnsi="Times New Roman" w:cs="Times New Roman"/>
          <w:lang w:eastAsia="lt-LT"/>
        </w:rPr>
        <w:t>). Buteliuke yra 100 ml, 250 ml, 500 ml arba 1000 ml infuzinio tirpalo.</w:t>
      </w:r>
    </w:p>
    <w:p w:rsidR="00BA04F7" w:rsidRDefault="00BA04F7" w:rsidP="00BA04F7">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Dėžutėje yra 40 buteliukų po 100 ml, 20 buteliukų po 250 ml ir 500 ml arba 10 buteliukų po 1000 ml.</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Gali būti tiekiamos ne visų dydžių pakuotės.</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Registruotojas</w:t>
      </w:r>
    </w:p>
    <w:p w:rsidR="00BA04F7" w:rsidRDefault="00BA04F7" w:rsidP="00BA04F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Fresenius Kabi Polska Sp. z o.o.</w:t>
      </w:r>
    </w:p>
    <w:p w:rsidR="00BA04F7" w:rsidRDefault="00BA04F7" w:rsidP="00BA04F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Al. Jerozolimskie 134</w:t>
      </w:r>
    </w:p>
    <w:p w:rsidR="00BA04F7" w:rsidRDefault="00BA04F7" w:rsidP="00BA04F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02-305 Warszawa</w:t>
      </w:r>
    </w:p>
    <w:p w:rsidR="00BA04F7" w:rsidRDefault="00BA04F7" w:rsidP="00BA04F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Lenkija</w:t>
      </w:r>
    </w:p>
    <w:p w:rsidR="00BA04F7" w:rsidRDefault="00BA04F7" w:rsidP="00BA04F7">
      <w:pPr>
        <w:tabs>
          <w:tab w:val="left" w:pos="567"/>
        </w:tabs>
        <w:spacing w:after="0" w:line="240" w:lineRule="auto"/>
        <w:jc w:val="both"/>
        <w:rPr>
          <w:rFonts w:ascii="Times New Roman" w:eastAsia="Calibri" w:hAnsi="Times New Roman" w:cs="Times New Roman"/>
          <w:b/>
          <w:lang w:eastAsia="lt-LT"/>
        </w:rPr>
      </w:pPr>
    </w:p>
    <w:p w:rsidR="00BA04F7" w:rsidRDefault="00BA04F7" w:rsidP="00BA04F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Gamintojas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Fresenius Kabi Polska Sp.z.o.o</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iCs/>
          <w:lang w:eastAsia="lt-LT"/>
        </w:rPr>
        <w:t xml:space="preserve">ul. </w:t>
      </w:r>
      <w:r>
        <w:rPr>
          <w:rFonts w:ascii="Times New Roman" w:eastAsia="Calibri" w:hAnsi="Times New Roman" w:cs="Times New Roman"/>
          <w:lang w:eastAsia="lt-LT"/>
        </w:rPr>
        <w:t>Sienkiewicza 25</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99-300 Kutno</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Lenkija</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apie šį vaistą norite sužinoti daugiau, kreipkitės į vietinį registruotojo atstovą.</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UAB „Fresenius Kabi Baltics“</w:t>
      </w: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 Basanavičiaus g. 26, LT-03244, Vilnius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Lietuva</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Tel. +370 52609169</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Faksas +370 526 08 696</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 xml:space="preserve">Pakuotės </w:t>
      </w:r>
      <w:smartTag w:uri="schemas-tilde-lt/tildestengine" w:element="templates">
        <w:smartTagPr>
          <w:attr w:name="text" w:val="LAPELIS"/>
          <w:attr w:name="id" w:val="-1"/>
          <w:attr w:name="baseform" w:val="lapel|is"/>
        </w:smartTagPr>
        <w:r>
          <w:rPr>
            <w:rFonts w:ascii="Times New Roman" w:eastAsia="Calibri" w:hAnsi="Times New Roman" w:cs="Times New Roman"/>
            <w:b/>
            <w:lang w:eastAsia="lt-LT"/>
          </w:rPr>
          <w:t>lapelis</w:t>
        </w:r>
      </w:smartTag>
      <w:r>
        <w:rPr>
          <w:rFonts w:ascii="Times New Roman" w:eastAsia="Calibri" w:hAnsi="Times New Roman" w:cs="Times New Roman"/>
          <w:b/>
          <w:lang w:eastAsia="lt-LT"/>
        </w:rPr>
        <w:t xml:space="preserve"> paskutinį kartą peržiūrėtas 2018-07-23.</w:t>
      </w:r>
    </w:p>
    <w:p w:rsidR="00BA04F7" w:rsidRDefault="00BA04F7" w:rsidP="00BA04F7">
      <w:pPr>
        <w:tabs>
          <w:tab w:val="left" w:pos="567"/>
        </w:tabs>
        <w:spacing w:after="0" w:line="240" w:lineRule="auto"/>
        <w:jc w:val="both"/>
        <w:rPr>
          <w:rFonts w:ascii="Times New Roman" w:eastAsia="Calibri" w:hAnsi="Times New Roman" w:cs="Times New Roman"/>
          <w:b/>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Išsami informacija apie šį vaistą pateikiama Valstybinės vaistų kontrolės tarnybos prie Lietuvos Respublikos sveikatos apsaugos ministerijos tinklalapyje</w:t>
      </w:r>
      <w:r>
        <w:rPr>
          <w:rFonts w:ascii="Times New Roman" w:eastAsia="Calibri" w:hAnsi="Times New Roman" w:cs="Times New Roman"/>
          <w:i/>
          <w:lang w:eastAsia="lt-LT"/>
        </w:rPr>
        <w:t xml:space="preserve"> </w:t>
      </w:r>
      <w:hyperlink r:id="rId8" w:history="1">
        <w:r>
          <w:rPr>
            <w:rStyle w:val="Hyperlink"/>
            <w:rFonts w:eastAsia="SimSun"/>
          </w:rPr>
          <w:t>http://www.vvkt.lt/</w:t>
        </w:r>
      </w:hyperlink>
      <w:r>
        <w:rPr>
          <w:rFonts w:ascii="Times New Roman" w:eastAsia="Calibri" w:hAnsi="Times New Roman" w:cs="Times New Roman"/>
          <w:lang w:eastAsia="lt-LT"/>
        </w:rPr>
        <w:t>.---------------------------------------------------------------------------------------------------------------------------</w:t>
      </w:r>
    </w:p>
    <w:p w:rsidR="00BA04F7" w:rsidRDefault="00BA04F7" w:rsidP="00BA04F7">
      <w:pPr>
        <w:spacing w:after="200" w:line="276"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Toliau pateikta informacija skirta tik sveikatos priežiūros specialistams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spacing w:after="0" w:line="240" w:lineRule="auto"/>
        <w:rPr>
          <w:rFonts w:ascii="Times New Roman" w:eastAsia="Times New Roman" w:hAnsi="Times New Roman" w:cs="Times New Roman"/>
          <w:i/>
          <w:lang w:eastAsia="de-DE"/>
        </w:rPr>
      </w:pPr>
      <w:r>
        <w:rPr>
          <w:rFonts w:ascii="Times New Roman" w:eastAsia="Times New Roman" w:hAnsi="Times New Roman" w:cs="Times New Roman"/>
          <w:i/>
          <w:lang w:eastAsia="de-DE"/>
        </w:rPr>
        <w:t>Bendrieji patarimai</w:t>
      </w:r>
    </w:p>
    <w:p w:rsidR="00BA04F7" w:rsidRDefault="00BA04F7" w:rsidP="00BA04F7">
      <w:pPr>
        <w:spacing w:after="0" w:line="240" w:lineRule="auto"/>
        <w:rPr>
          <w:rFonts w:ascii="Times New Roman" w:eastAsia="Times New Roman" w:hAnsi="Times New Roman" w:cs="Times New Roman"/>
          <w:lang w:eastAsia="de-DE"/>
        </w:rPr>
      </w:pPr>
    </w:p>
    <w:p w:rsidR="00BA04F7" w:rsidRDefault="00BA04F7" w:rsidP="00BA04F7">
      <w:pPr>
        <w:tabs>
          <w:tab w:val="left" w:pos="567"/>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Prieš infuziją ir jos metu gali reikėti stebėti skysčių pusiausvyrą, elektrolitų pusiausvyrą serume, taip pat rūgščių ir šarmų pusiausvyrą, ypač atsižvelgiant į pacientų, kuriems nustatyta padidėjusi ne osmosinė vazopresino sekrecija (sutrikusios antidiurezinio hormono sekrecijos sindromas (angl. </w:t>
      </w:r>
      <w:r>
        <w:rPr>
          <w:rFonts w:ascii="Times New Roman" w:eastAsia="Times New Roman" w:hAnsi="Times New Roman" w:cs="Times New Roman"/>
          <w:i/>
          <w:iCs/>
          <w:snapToGrid w:val="0"/>
        </w:rPr>
        <w:t>syndrome of inappropriate antidiuretic hormone secretion, SIADH</w:t>
      </w:r>
      <w:r>
        <w:rPr>
          <w:rFonts w:ascii="Times New Roman" w:eastAsia="Times New Roman" w:hAnsi="Times New Roman" w:cs="Times New Roman"/>
          <w:snapToGrid w:val="0"/>
        </w:rPr>
        <w:t>), ir pacientų, kurie dėl ligoninėje įgytos hiponatremijos rizikos kartu gydomi vaistiniais preparatais, kurie yra vazopresino agonistai, natrio koncentraciją serume. Ypač svarbu natrio koncentraciją serume stebėti vartojant hipotoninių skysčių.</w:t>
      </w:r>
    </w:p>
    <w:p w:rsidR="00BA04F7" w:rsidRDefault="00BA04F7" w:rsidP="00BA04F7">
      <w:pPr>
        <w:tabs>
          <w:tab w:val="left" w:pos="567"/>
        </w:tabs>
        <w:spacing w:after="0" w:line="240" w:lineRule="auto"/>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Vaikams infuzijos greitį ir tūrį turi nustatyti konsultuojantis gydytojas, turintis gydymo intraveniniais skysčiais pediatrijos srityje patirties.</w:t>
      </w:r>
    </w:p>
    <w:p w:rsidR="00BA04F7" w:rsidRDefault="00BA04F7" w:rsidP="00BA04F7">
      <w:pPr>
        <w:tabs>
          <w:tab w:val="left" w:pos="567"/>
        </w:tabs>
        <w:spacing w:after="0" w:line="240" w:lineRule="auto"/>
        <w:jc w:val="both"/>
        <w:rPr>
          <w:rFonts w:ascii="Times New Roman" w:eastAsia="Calibri" w:hAnsi="Times New Roman" w:cs="Times New Roman"/>
          <w:lang w:eastAsia="lt-LT"/>
        </w:rPr>
      </w:pPr>
    </w:p>
    <w:p w:rsidR="00BA04F7" w:rsidRDefault="00BA04F7" w:rsidP="00BA04F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Specialių atsargumo priemonių reikia:</w:t>
      </w:r>
    </w:p>
    <w:p w:rsidR="00BA04F7" w:rsidRDefault="00BA04F7" w:rsidP="00BA04F7">
      <w:pPr>
        <w:tabs>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r>
      <w:r>
        <w:rPr>
          <w:rFonts w:ascii="Times New Roman" w:eastAsia="Calibri" w:hAnsi="Times New Roman" w:cs="Times New Roman"/>
          <w:lang w:eastAsia="lt-LT"/>
        </w:rPr>
        <w:t>jeigu pacientui, sergančiam širdies ar kvėpavimo nepakankamumu, lašinama didelis kiekis skysčio, reikia stebėti pagrindinius organizmo būklės rodmenis;</w:t>
      </w:r>
    </w:p>
    <w:p w:rsidR="00BA04F7" w:rsidRDefault="00BA04F7" w:rsidP="00BA04F7">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vartojant tirpalo reikia stebėti paciento būklę ir tikrinti laboratorinių tyrimų rodmenis (elektrolitų kiekį kraujyje ir šlapime, rūgščių-šarmų pusiausvyrą). Pacientams, kuriems yra hiperkalemijos rizika, reikia ypač kruopščiai stebėti kalio kiekį kraujo plazmoje;</w:t>
      </w:r>
    </w:p>
    <w:p w:rsidR="00BA04F7" w:rsidRDefault="00BA04F7" w:rsidP="00BA04F7">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tirpalus, kurių sudėtyje yra natrio chlorido, įskaitant </w:t>
      </w: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spacing w:val="-3"/>
          <w:lang w:eastAsia="lt-LT"/>
        </w:rPr>
        <w:t>infuzinį tirpalą, reikia atsargiai skirti pacientams, sergantiems hipertenzija, širdies nepakankamumu, periferine ar plaučių edema, inkstų veiklos sutrikimu, preeklampsija, aldosteronizmu ar esant kitai būklei, susijusiai su natrio susilaikymu organizme;</w:t>
      </w:r>
    </w:p>
    <w:p w:rsidR="00BA04F7" w:rsidRDefault="00BA04F7" w:rsidP="00BA04F7">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tirpalus, kurių sudėtyje yra kalio druskų, įskaitant </w:t>
      </w: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spacing w:val="-3"/>
          <w:lang w:eastAsia="lt-LT"/>
        </w:rPr>
        <w:t>infuzinį tirpalą, reikia atsargiai skirti pacientams, sergantiesiems širdies ligomis ar esant būklėms, kurios skatina hiperkalemiją, pvz., inkstų ar antinksčių nepakankamumui, ūminei dehidratacijai ar dideliam audinių irimui (būna sunkių nudegimų atveju);</w:t>
      </w:r>
    </w:p>
    <w:p w:rsidR="00BA04F7" w:rsidRDefault="00BA04F7" w:rsidP="00BA04F7">
      <w:pPr>
        <w:tabs>
          <w:tab w:val="left" w:pos="540"/>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k</w:t>
      </w:r>
      <w:r>
        <w:rPr>
          <w:rFonts w:ascii="Times New Roman" w:eastAsia="Calibri" w:hAnsi="Times New Roman" w:cs="Times New Roman"/>
          <w:lang w:eastAsia="lt-LT"/>
        </w:rPr>
        <w:t>adangi kalcio chloridas dirgina audinius, reikia laikytis atsargumo priemonių, kad vaistas nebūtų suleistas greta venos bei į raumenis. Tirpalus, kurių sudėtyje yra kalcio druskų, reikia atsargiai skirti pacientams, sergantiems inkstų funkcijos sutrikimu ar ligomis, kurių metu kraujyje būna didesnė vitamino D koncentracija, pvz., sarkoidoze. Ilgalaikio parenterinio gydymo atveju reikia skirti tinkamą maisto medžiagų kiekį;</w:t>
      </w:r>
    </w:p>
    <w:p w:rsidR="00BA04F7" w:rsidRDefault="00BA04F7" w:rsidP="00BA04F7">
      <w:pPr>
        <w:tabs>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n</w:t>
      </w:r>
      <w:r>
        <w:rPr>
          <w:rFonts w:ascii="Times New Roman" w:eastAsia="Calibri" w:hAnsi="Times New Roman" w:cs="Times New Roman"/>
          <w:lang w:eastAsia="lt-LT"/>
        </w:rPr>
        <w:t>ors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kalio koncentracija yra tokia pati kaip ir plazmoje, jo nepakanka reikiamam poveikiui pasiekti sunkaus kalio nepakankamumo atveju, todėl šis tirpalas kalio trūkumui šalinti netinka;</w:t>
      </w:r>
    </w:p>
    <w:p w:rsidR="00BA04F7" w:rsidRDefault="00BA04F7" w:rsidP="00BA04F7">
      <w:pPr>
        <w:tabs>
          <w:tab w:val="left" w:pos="540"/>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t</w:t>
      </w:r>
      <w:r>
        <w:rPr>
          <w:rFonts w:ascii="Times New Roman" w:eastAsia="Calibri" w:hAnsi="Times New Roman" w:cs="Times New Roman"/>
          <w:lang w:eastAsia="lt-LT"/>
        </w:rPr>
        <w:t>irpalo nerekomenduojama vartoti pacientams, kuriems yra inkstų akmenų su kalcio druskomis ar kurie sirgo inkstų akmenlige. Dėl krešulių atsiradimo pavojaus, jeigu kartu yra perpilamas kraujas,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negalima lašinti per tą pačią infuzinę sistemą.</w:t>
      </w:r>
    </w:p>
    <w:p w:rsidR="00BA04F7" w:rsidRDefault="00BA04F7">
      <w:bookmarkStart w:id="0" w:name="_GoBack"/>
      <w:bookmarkEnd w:id="0"/>
    </w:p>
    <w:sectPr w:rsidR="00BA04F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FF9"/>
    <w:multiLevelType w:val="hybridMultilevel"/>
    <w:tmpl w:val="CF464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1C40B63"/>
    <w:multiLevelType w:val="hybridMultilevel"/>
    <w:tmpl w:val="F24A9686"/>
    <w:lvl w:ilvl="0" w:tplc="FFFFFFFF">
      <w:start w:val="1"/>
      <w:numFmt w:val="bullet"/>
      <w:lvlText w:val="-"/>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F224785"/>
    <w:multiLevelType w:val="hybridMultilevel"/>
    <w:tmpl w:val="09847A3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F7"/>
    <w:rsid w:val="00BA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3E32EB48-7A95-4FC0-A15D-35947C4A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A04F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2020-11-20T08:28:00Z</dcterms:created>
  <dcterms:modified xsi:type="dcterms:W3CDTF">2020-11-20T08:28:00Z</dcterms:modified>
</cp:coreProperties>
</file>