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F" w:rsidRPr="00A10184" w:rsidRDefault="00F42AAF" w:rsidP="00F42AAF">
      <w:pPr>
        <w:keepNext/>
        <w:tabs>
          <w:tab w:val="left" w:pos="567"/>
        </w:tabs>
        <w:suppressAutoHyphens/>
        <w:spacing w:after="0" w:line="240" w:lineRule="auto"/>
        <w:jc w:val="center"/>
        <w:outlineLvl w:val="1"/>
        <w:rPr>
          <w:rFonts w:ascii="Times New Roman" w:eastAsia="Times New Roman" w:hAnsi="Times New Roman" w:cs="Times New Roman"/>
          <w:b/>
          <w:bCs/>
          <w:iCs/>
          <w:color w:val="00000A"/>
          <w:lang w:eastAsia="ja-JP"/>
        </w:rPr>
      </w:pPr>
      <w:r w:rsidRPr="00A10184">
        <w:rPr>
          <w:rFonts w:ascii="Times New Roman" w:eastAsia="Times New Roman" w:hAnsi="Times New Roman" w:cs="Times New Roman"/>
          <w:b/>
          <w:bCs/>
          <w:iCs/>
          <w:color w:val="00000A"/>
          <w:lang w:eastAsia="ja-JP"/>
        </w:rPr>
        <w:t>Pakuotės lapelis:</w:t>
      </w:r>
      <w:r w:rsidRPr="00A10184">
        <w:rPr>
          <w:rFonts w:ascii="Times New Roman" w:eastAsia="Times New Roman" w:hAnsi="Times New Roman" w:cs="Times New Roman"/>
          <w:b/>
          <w:color w:val="00000A"/>
          <w:lang w:eastAsia="ja-JP"/>
        </w:rPr>
        <w:t xml:space="preserve"> </w:t>
      </w:r>
      <w:r w:rsidRPr="00A10184">
        <w:rPr>
          <w:rFonts w:ascii="Times New Roman" w:eastAsia="Times New Roman" w:hAnsi="Times New Roman" w:cs="Times New Roman"/>
          <w:b/>
          <w:bCs/>
          <w:iCs/>
          <w:color w:val="00000A"/>
          <w:lang w:eastAsia="ja-JP"/>
        </w:rPr>
        <w:t>informacija pacientui</w:t>
      </w:r>
    </w:p>
    <w:p w:rsidR="00F42AAF" w:rsidRPr="00A10184" w:rsidRDefault="00F42AAF" w:rsidP="00F42AAF">
      <w:pPr>
        <w:shd w:val="clear" w:color="auto" w:fill="FFFFFF"/>
        <w:tabs>
          <w:tab w:val="left" w:pos="567"/>
        </w:tabs>
        <w:suppressAutoHyphens/>
        <w:spacing w:after="0" w:line="240" w:lineRule="auto"/>
        <w:jc w:val="center"/>
        <w:rPr>
          <w:rFonts w:ascii="Times New Roman" w:eastAsia="Times New Roman" w:hAnsi="Times New Roman" w:cs="Times New Roman"/>
          <w:color w:val="00000A"/>
          <w:szCs w:val="20"/>
          <w:shd w:val="clear" w:color="auto" w:fill="FFFFFF"/>
        </w:rPr>
      </w:pPr>
    </w:p>
    <w:p w:rsidR="00F42AAF" w:rsidRPr="00A10184" w:rsidRDefault="00F42AAF" w:rsidP="00F42AAF">
      <w:pPr>
        <w:shd w:val="clear" w:color="auto" w:fill="FFFFFF"/>
        <w:tabs>
          <w:tab w:val="left" w:pos="567"/>
        </w:tabs>
        <w:suppressAutoHyphens/>
        <w:spacing w:after="0" w:line="240" w:lineRule="auto"/>
        <w:jc w:val="center"/>
        <w:rPr>
          <w:rFonts w:ascii="Times New Roman" w:eastAsia="Times New Roman" w:hAnsi="Times New Roman" w:cs="Times New Roman"/>
          <w:b/>
          <w:bCs/>
          <w:color w:val="00000A"/>
          <w:szCs w:val="20"/>
          <w:shd w:val="clear" w:color="auto" w:fill="FFFFFF"/>
        </w:rPr>
      </w:pPr>
      <w:r w:rsidRPr="00A10184">
        <w:rPr>
          <w:rFonts w:ascii="Times New Roman" w:eastAsia="Times New Roman" w:hAnsi="Times New Roman" w:cs="Times New Roman"/>
          <w:b/>
          <w:bCs/>
          <w:color w:val="00000A"/>
          <w:szCs w:val="20"/>
          <w:shd w:val="clear" w:color="auto" w:fill="FFFFFF"/>
        </w:rPr>
        <w:t>Rezol 1 g milteliai injekciniam ar infuziniam tirpalui</w:t>
      </w:r>
    </w:p>
    <w:p w:rsidR="00F42AAF" w:rsidRPr="00A10184" w:rsidRDefault="00F42AAF" w:rsidP="00F42AAF">
      <w:pPr>
        <w:tabs>
          <w:tab w:val="left" w:pos="567"/>
        </w:tabs>
        <w:suppressAutoHyphens/>
        <w:spacing w:after="0" w:line="240" w:lineRule="auto"/>
        <w:jc w:val="center"/>
        <w:rPr>
          <w:rFonts w:ascii="Times New Roman" w:eastAsia="Times New Roman" w:hAnsi="Times New Roman" w:cs="Times New Roman"/>
          <w:color w:val="00000A"/>
        </w:rPr>
      </w:pPr>
      <w:r w:rsidRPr="00A10184">
        <w:rPr>
          <w:rFonts w:ascii="Times New Roman" w:eastAsia="Times New Roman" w:hAnsi="Times New Roman" w:cs="Times New Roman"/>
          <w:color w:val="00000A"/>
        </w:rPr>
        <w:t>Cefazolinas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color w:val="00000A"/>
        </w:rPr>
      </w:pPr>
      <w:r w:rsidRPr="00A10184">
        <w:rPr>
          <w:rFonts w:ascii="Times New Roman" w:eastAsia="Times New Roman" w:hAnsi="Times New Roman" w:cs="Times New Roman"/>
          <w:b/>
          <w:color w:val="00000A"/>
        </w:rPr>
        <w:t>Atidžiai perskaitykite visą šį lapelį, prieš pradėdami vartoti vaistą, nes jame pateikiama Jums svarbi informacija.</w:t>
      </w:r>
    </w:p>
    <w:p w:rsidR="00F42AAF" w:rsidRPr="00A10184" w:rsidRDefault="00F42AAF" w:rsidP="00F42AAF">
      <w:pPr>
        <w:numPr>
          <w:ilvl w:val="0"/>
          <w:numId w:val="1"/>
        </w:numPr>
        <w:tabs>
          <w:tab w:val="left" w:pos="567"/>
        </w:tabs>
        <w:suppressAutoHyphens/>
        <w:spacing w:after="0" w:line="240" w:lineRule="auto"/>
        <w:ind w:left="567" w:right="-2" w:hanging="357"/>
        <w:rPr>
          <w:rFonts w:ascii="Times New Roman" w:eastAsia="Times New Roman" w:hAnsi="Times New Roman" w:cs="Times New Roman"/>
          <w:color w:val="00000A"/>
        </w:rPr>
      </w:pPr>
      <w:r w:rsidRPr="00A10184">
        <w:rPr>
          <w:rFonts w:ascii="Times New Roman" w:eastAsia="Times New Roman" w:hAnsi="Times New Roman" w:cs="Times New Roman"/>
          <w:color w:val="00000A"/>
        </w:rPr>
        <w:t xml:space="preserve">Neišmeskite šio lapelio, nes vėl gali prireikti jį perskaityti. </w:t>
      </w:r>
    </w:p>
    <w:p w:rsidR="00F42AAF" w:rsidRPr="00A10184" w:rsidRDefault="00F42AAF" w:rsidP="00F42AAF">
      <w:pPr>
        <w:numPr>
          <w:ilvl w:val="0"/>
          <w:numId w:val="1"/>
        </w:numPr>
        <w:tabs>
          <w:tab w:val="left" w:pos="567"/>
        </w:tabs>
        <w:suppressAutoHyphens/>
        <w:spacing w:after="0" w:line="240" w:lineRule="auto"/>
        <w:ind w:left="567" w:right="-2" w:hanging="357"/>
        <w:rPr>
          <w:rFonts w:ascii="Times New Roman" w:eastAsia="Times New Roman" w:hAnsi="Times New Roman" w:cs="Times New Roman"/>
          <w:color w:val="00000A"/>
        </w:rPr>
      </w:pPr>
      <w:r w:rsidRPr="00A10184">
        <w:rPr>
          <w:rFonts w:ascii="Times New Roman" w:eastAsia="Times New Roman" w:hAnsi="Times New Roman" w:cs="Times New Roman"/>
          <w:color w:val="00000A"/>
        </w:rPr>
        <w:t>Jeigu kiltų daugiau klausimų, kreipkitės į gydytoją, vaistininką arba slaugytoją.</w:t>
      </w:r>
    </w:p>
    <w:p w:rsidR="00F42AAF" w:rsidRPr="00A10184" w:rsidRDefault="00F42AAF" w:rsidP="00F42AAF">
      <w:pPr>
        <w:numPr>
          <w:ilvl w:val="0"/>
          <w:numId w:val="1"/>
        </w:numPr>
        <w:tabs>
          <w:tab w:val="left" w:pos="567"/>
        </w:tabs>
        <w:suppressAutoHyphens/>
        <w:spacing w:after="0" w:line="240" w:lineRule="auto"/>
        <w:ind w:left="567" w:hanging="357"/>
        <w:rPr>
          <w:rFonts w:ascii="Times New Roman" w:eastAsia="Times New Roman" w:hAnsi="Times New Roman" w:cs="Times New Roman"/>
          <w:color w:val="00000A"/>
        </w:rPr>
      </w:pPr>
      <w:r w:rsidRPr="00A10184">
        <w:rPr>
          <w:rFonts w:ascii="Times New Roman" w:eastAsia="Times New Roman" w:hAnsi="Times New Roman" w:cs="Times New Roman"/>
          <w:noProof/>
          <w:color w:val="00000A"/>
          <w:szCs w:val="24"/>
        </w:rPr>
        <w:t>Šis vaistas skirtas tik Jums, todėl kitiems žmonėms jo duoti negalima.</w:t>
      </w:r>
      <w:r w:rsidRPr="00A10184">
        <w:rPr>
          <w:rFonts w:ascii="Times New Roman" w:eastAsia="Times New Roman" w:hAnsi="Times New Roman" w:cs="Times New Roman"/>
          <w:color w:val="00000A"/>
          <w:szCs w:val="24"/>
        </w:rPr>
        <w:t xml:space="preserve"> </w:t>
      </w:r>
      <w:r w:rsidRPr="00A10184">
        <w:rPr>
          <w:rFonts w:ascii="Times New Roman" w:eastAsia="Times New Roman" w:hAnsi="Times New Roman" w:cs="Times New Roman"/>
          <w:noProof/>
          <w:color w:val="00000A"/>
          <w:szCs w:val="24"/>
        </w:rPr>
        <w:t xml:space="preserve">Vaistas gali jiems pakenkti (net tiems, kurių ligos požymiai yra tokie patys kaip Jūsų). </w:t>
      </w:r>
      <w:r w:rsidRPr="00A10184">
        <w:rPr>
          <w:rFonts w:ascii="Times New Roman" w:eastAsia="Times New Roman" w:hAnsi="Times New Roman" w:cs="Times New Roman"/>
          <w:color w:val="00000A"/>
        </w:rPr>
        <w:t>Jeigu pasireiškė šalutinis poveikis (net jeigu jis šiame lapelyje nenurodytas), kreipkitės į gydytoją, vaistininką arba slaugytoją. Žr. 4 skyrių.</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Apie ką rašoma šiame lapelyje?</w:t>
      </w:r>
    </w:p>
    <w:p w:rsidR="00F42AAF" w:rsidRPr="00A10184" w:rsidRDefault="00F42AAF" w:rsidP="00F42AAF">
      <w:pPr>
        <w:tabs>
          <w:tab w:val="left" w:pos="567"/>
        </w:tabs>
        <w:suppressAutoHyphens/>
        <w:spacing w:after="0" w:line="240" w:lineRule="auto"/>
        <w:ind w:left="284"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left="567" w:right="-2" w:hanging="567"/>
        <w:rPr>
          <w:rFonts w:ascii="Times New Roman" w:eastAsia="Times New Roman" w:hAnsi="Times New Roman" w:cs="Times New Roman"/>
          <w:color w:val="00000A"/>
        </w:rPr>
      </w:pPr>
      <w:r w:rsidRPr="00A10184">
        <w:rPr>
          <w:rFonts w:ascii="Times New Roman" w:eastAsia="Times New Roman" w:hAnsi="Times New Roman" w:cs="Times New Roman"/>
          <w:color w:val="00000A"/>
        </w:rPr>
        <w:t>1.</w:t>
      </w:r>
      <w:r w:rsidRPr="00A10184">
        <w:rPr>
          <w:rFonts w:ascii="Times New Roman" w:eastAsia="Times New Roman" w:hAnsi="Times New Roman" w:cs="Times New Roman"/>
          <w:color w:val="00000A"/>
        </w:rPr>
        <w:tab/>
        <w:t xml:space="preserve">Kas yra Rezol ir kam jis vartojamas </w:t>
      </w:r>
    </w:p>
    <w:p w:rsidR="00F42AAF" w:rsidRPr="00A10184" w:rsidRDefault="00F42AAF" w:rsidP="00F42AAF">
      <w:pPr>
        <w:tabs>
          <w:tab w:val="left" w:pos="567"/>
        </w:tabs>
        <w:suppressAutoHyphens/>
        <w:spacing w:after="0" w:line="240" w:lineRule="auto"/>
        <w:ind w:left="567" w:right="-2" w:hanging="567"/>
        <w:rPr>
          <w:rFonts w:ascii="Times New Roman" w:eastAsia="Times New Roman" w:hAnsi="Times New Roman" w:cs="Times New Roman"/>
          <w:color w:val="00000A"/>
        </w:rPr>
      </w:pPr>
      <w:r w:rsidRPr="00A10184">
        <w:rPr>
          <w:rFonts w:ascii="Times New Roman" w:eastAsia="Times New Roman" w:hAnsi="Times New Roman" w:cs="Times New Roman"/>
          <w:color w:val="00000A"/>
        </w:rPr>
        <w:t>2.</w:t>
      </w:r>
      <w:r w:rsidRPr="00A10184">
        <w:rPr>
          <w:rFonts w:ascii="Times New Roman" w:eastAsia="Times New Roman" w:hAnsi="Times New Roman" w:cs="Times New Roman"/>
          <w:color w:val="00000A"/>
        </w:rPr>
        <w:tab/>
        <w:t>Kas žinotina prieš vartojant Rezol</w:t>
      </w:r>
    </w:p>
    <w:p w:rsidR="00F42AAF" w:rsidRPr="00A10184" w:rsidRDefault="00F42AAF" w:rsidP="00F42AAF">
      <w:pPr>
        <w:tabs>
          <w:tab w:val="left" w:pos="567"/>
        </w:tabs>
        <w:suppressAutoHyphens/>
        <w:spacing w:after="0" w:line="240" w:lineRule="auto"/>
        <w:ind w:left="567" w:right="-2" w:hanging="567"/>
        <w:rPr>
          <w:rFonts w:ascii="Times New Roman" w:eastAsia="Times New Roman" w:hAnsi="Times New Roman" w:cs="Times New Roman"/>
          <w:color w:val="00000A"/>
        </w:rPr>
      </w:pPr>
      <w:r w:rsidRPr="00A10184">
        <w:rPr>
          <w:rFonts w:ascii="Times New Roman" w:eastAsia="Times New Roman" w:hAnsi="Times New Roman" w:cs="Times New Roman"/>
          <w:color w:val="00000A"/>
        </w:rPr>
        <w:t>3.</w:t>
      </w:r>
      <w:r w:rsidRPr="00A10184">
        <w:rPr>
          <w:rFonts w:ascii="Times New Roman" w:eastAsia="Times New Roman" w:hAnsi="Times New Roman" w:cs="Times New Roman"/>
          <w:color w:val="00000A"/>
        </w:rPr>
        <w:tab/>
        <w:t xml:space="preserve">Kaip vartoti Rezol </w:t>
      </w:r>
    </w:p>
    <w:p w:rsidR="00F42AAF" w:rsidRPr="00A10184" w:rsidRDefault="00F42AAF" w:rsidP="00F42AAF">
      <w:pPr>
        <w:tabs>
          <w:tab w:val="left" w:pos="567"/>
        </w:tabs>
        <w:suppressAutoHyphens/>
        <w:spacing w:after="0" w:line="240" w:lineRule="auto"/>
        <w:ind w:left="567" w:right="-2" w:hanging="567"/>
        <w:rPr>
          <w:rFonts w:ascii="Times New Roman" w:eastAsia="Times New Roman" w:hAnsi="Times New Roman" w:cs="Times New Roman"/>
          <w:color w:val="00000A"/>
        </w:rPr>
      </w:pPr>
      <w:r w:rsidRPr="00A10184">
        <w:rPr>
          <w:rFonts w:ascii="Times New Roman" w:eastAsia="Times New Roman" w:hAnsi="Times New Roman" w:cs="Times New Roman"/>
          <w:color w:val="00000A"/>
        </w:rPr>
        <w:t>4.</w:t>
      </w:r>
      <w:r w:rsidRPr="00A10184">
        <w:rPr>
          <w:rFonts w:ascii="Times New Roman" w:eastAsia="Times New Roman" w:hAnsi="Times New Roman" w:cs="Times New Roman"/>
          <w:color w:val="00000A"/>
        </w:rPr>
        <w:tab/>
        <w:t xml:space="preserve">Galimas šalutinis poveikis </w:t>
      </w:r>
    </w:p>
    <w:p w:rsidR="00F42AAF" w:rsidRPr="00A10184" w:rsidRDefault="00F42AAF" w:rsidP="00F42AAF">
      <w:pPr>
        <w:tabs>
          <w:tab w:val="left" w:pos="567"/>
          <w:tab w:val="left" w:pos="709"/>
        </w:tabs>
        <w:suppressAutoHyphens/>
        <w:spacing w:after="0" w:line="240" w:lineRule="auto"/>
        <w:ind w:left="567" w:right="-2" w:hanging="567"/>
        <w:rPr>
          <w:rFonts w:ascii="Times New Roman" w:eastAsia="Times New Roman" w:hAnsi="Times New Roman" w:cs="Times New Roman"/>
          <w:color w:val="00000A"/>
        </w:rPr>
      </w:pPr>
      <w:r w:rsidRPr="00A10184">
        <w:rPr>
          <w:rFonts w:ascii="Times New Roman" w:eastAsia="Times New Roman" w:hAnsi="Times New Roman" w:cs="Times New Roman"/>
          <w:color w:val="00000A"/>
        </w:rPr>
        <w:t>5.</w:t>
      </w:r>
      <w:r w:rsidRPr="00A10184">
        <w:rPr>
          <w:rFonts w:ascii="Times New Roman" w:eastAsia="Times New Roman" w:hAnsi="Times New Roman" w:cs="Times New Roman"/>
          <w:color w:val="00000A"/>
        </w:rPr>
        <w:tab/>
        <w:t xml:space="preserve">Kaip laikyti Rezol </w:t>
      </w:r>
    </w:p>
    <w:p w:rsidR="00F42AAF" w:rsidRPr="00A10184" w:rsidRDefault="00F42AAF" w:rsidP="00F42AAF">
      <w:pPr>
        <w:tabs>
          <w:tab w:val="left" w:pos="567"/>
        </w:tabs>
        <w:suppressAutoHyphens/>
        <w:spacing w:after="0" w:line="240" w:lineRule="auto"/>
        <w:ind w:left="567" w:right="-2" w:hanging="567"/>
        <w:rPr>
          <w:rFonts w:ascii="Times New Roman" w:eastAsia="Times New Roman" w:hAnsi="Times New Roman" w:cs="Times New Roman"/>
          <w:color w:val="00000A"/>
        </w:rPr>
      </w:pPr>
      <w:r w:rsidRPr="00A10184">
        <w:rPr>
          <w:rFonts w:ascii="Times New Roman" w:eastAsia="Times New Roman" w:hAnsi="Times New Roman" w:cs="Times New Roman"/>
          <w:color w:val="00000A"/>
        </w:rPr>
        <w:t>6.</w:t>
      </w:r>
      <w:r w:rsidRPr="00A10184">
        <w:rPr>
          <w:rFonts w:ascii="Times New Roman" w:eastAsia="Times New Roman" w:hAnsi="Times New Roman" w:cs="Times New Roman"/>
          <w:color w:val="00000A"/>
        </w:rPr>
        <w:tab/>
        <w:t>Pakuotės turinys ir kita informacija</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1.</w:t>
      </w:r>
      <w:r w:rsidRPr="00A10184">
        <w:rPr>
          <w:rFonts w:ascii="Times New Roman" w:eastAsia="Times New Roman" w:hAnsi="Times New Roman" w:cs="Times New Roman"/>
          <w:b/>
          <w:bCs/>
          <w:color w:val="00000A"/>
          <w:lang w:eastAsia="ja-JP"/>
        </w:rPr>
        <w:tab/>
        <w:t xml:space="preserve">Kas yra </w:t>
      </w:r>
      <w:r w:rsidRPr="00A10184">
        <w:rPr>
          <w:rFonts w:ascii="Times New Roman" w:eastAsia="Times New Roman" w:hAnsi="Times New Roman" w:cs="Times New Roman"/>
          <w:b/>
          <w:bCs/>
          <w:color w:val="00000A"/>
          <w:szCs w:val="28"/>
          <w:lang w:eastAsia="ja-JP"/>
        </w:rPr>
        <w:t xml:space="preserve">Rezol </w:t>
      </w:r>
      <w:r w:rsidRPr="00A10184">
        <w:rPr>
          <w:rFonts w:ascii="Times New Roman" w:eastAsia="Times New Roman" w:hAnsi="Times New Roman" w:cs="Times New Roman"/>
          <w:b/>
          <w:bCs/>
          <w:color w:val="00000A"/>
          <w:lang w:eastAsia="ja-JP"/>
        </w:rPr>
        <w:t>ir kam jis vartojamas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A"/>
          <w:szCs w:val="20"/>
        </w:rPr>
        <w:t xml:space="preserve">Rezol </w:t>
      </w:r>
      <w:r w:rsidRPr="00A10184">
        <w:rPr>
          <w:rFonts w:ascii="Times New Roman" w:eastAsia="Times New Roman" w:hAnsi="Times New Roman" w:cs="Times New Roman"/>
          <w:color w:val="000000"/>
        </w:rPr>
        <w:t xml:space="preserve">sudėtyje yra veikliosios medžiagos cefazolino.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Cefazolinas priklauso cefalosporinais vadinamų antibiotikų, kurie veikia naikindami bakterijas, grupei.</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0"/>
        </w:rPr>
        <w:t>Cefazolino vartojama tada, kai yra žinoma ar tikėtina, kad infekcinės ligos sukėlėjas yra bakterija, jautri cefazolino poveikiui. Jo vartojama gydant:</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odos ir poodinių audinių infekcines ligas;</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kaulų ir sąnarių infekcines ligas.</w:t>
      </w:r>
    </w:p>
    <w:p w:rsidR="00F42AAF" w:rsidRPr="00A10184" w:rsidRDefault="00F42AAF" w:rsidP="00F42AAF">
      <w:pPr>
        <w:tabs>
          <w:tab w:val="left" w:pos="567"/>
        </w:tabs>
        <w:suppressAutoHyphens/>
        <w:spacing w:after="0" w:line="240" w:lineRule="auto"/>
        <w:rPr>
          <w:rFonts w:ascii="Times New Roman" w:eastAsia="T1"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A"/>
          <w:szCs w:val="20"/>
        </w:rPr>
        <w:t xml:space="preserve">Rezol </w:t>
      </w:r>
      <w:r w:rsidRPr="00A10184">
        <w:rPr>
          <w:rFonts w:ascii="Times New Roman" w:eastAsia="Times New Roman" w:hAnsi="Times New Roman" w:cs="Times New Roman"/>
          <w:color w:val="000000"/>
        </w:rPr>
        <w:t>galima vartoti prieš operaciją ir po jos, siekiant neleisti atsirasti infekcijai.</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color w:val="00000A"/>
          <w:lang w:eastAsia="ja-JP"/>
        </w:rPr>
      </w:pPr>
      <w:r w:rsidRPr="00A10184">
        <w:rPr>
          <w:rFonts w:ascii="Times New Roman" w:eastAsia="Times New Roman" w:hAnsi="Times New Roman" w:cs="Times New Roman"/>
          <w:b/>
          <w:bCs/>
          <w:color w:val="00000A"/>
          <w:lang w:eastAsia="ja-JP"/>
        </w:rPr>
        <w:t>2.</w:t>
      </w:r>
      <w:r w:rsidRPr="00A10184">
        <w:rPr>
          <w:rFonts w:ascii="Times New Roman" w:eastAsia="Times New Roman" w:hAnsi="Times New Roman" w:cs="Times New Roman"/>
          <w:b/>
          <w:bCs/>
          <w:color w:val="00000A"/>
          <w:lang w:eastAsia="ja-JP"/>
        </w:rPr>
        <w:tab/>
        <w:t xml:space="preserve">Kas žinotina prieš vartojant </w:t>
      </w:r>
      <w:r w:rsidRPr="00A10184">
        <w:rPr>
          <w:rFonts w:ascii="Times New Roman" w:eastAsia="Times New Roman" w:hAnsi="Times New Roman" w:cs="Times New Roman"/>
          <w:b/>
          <w:bCs/>
          <w:color w:val="00000A"/>
          <w:szCs w:val="28"/>
          <w:lang w:eastAsia="ja-JP"/>
        </w:rPr>
        <w:t xml:space="preserve">Rezol </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szCs w:val="28"/>
          <w:lang w:eastAsia="ja-JP"/>
        </w:rPr>
        <w:t xml:space="preserve">Rezol </w:t>
      </w:r>
      <w:r w:rsidRPr="00A10184">
        <w:rPr>
          <w:rFonts w:ascii="Times New Roman" w:eastAsia="Times New Roman" w:hAnsi="Times New Roman" w:cs="Times New Roman"/>
          <w:b/>
          <w:bCs/>
          <w:color w:val="00000A"/>
          <w:lang w:eastAsia="ja-JP"/>
        </w:rPr>
        <w:t>vartoti negalima:</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jeigu yra alergija cefazolinui arba bet kuriai pagalbinei šio vaisto medžiagai (jos išvardytos 6 skyriuje);</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jeigu buvo pasireiškusi sunki alerginė reakcija į peniciliną ar panašų antibiotiką.</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 xml:space="preserve">Įspėjimai ir atsargumo priemonės </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rPr>
        <w:t xml:space="preserve">Pasitarkite su gydytoju, vaistininku arba slaugytoju, prieš pradėdami vartoti </w:t>
      </w:r>
      <w:r w:rsidRPr="00A10184">
        <w:rPr>
          <w:rFonts w:ascii="Times New Roman" w:eastAsia="Times New Roman" w:hAnsi="Times New Roman" w:cs="Times New Roman"/>
          <w:color w:val="00000A"/>
          <w:szCs w:val="20"/>
        </w:rPr>
        <w:t>Rezol:</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jeigu Jums buvo pasireiškusi lengva alerginė reakcija į peniciliną ar panašius antibiotikus (pvz., buvo atsiradęs išbėrimas, kartu galėjo pasireikšti niežėjimas);</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jeigu esate alergiški bet kokiai šiame lapelyje nepaminėtai medžiagai;</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jeigu Jums kada nors buvo žarnyno sutrikimų, ypač kolitas (storųjų žarnų uždegimas);</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jeigu yra inkstų sutrikimų;</w:t>
      </w:r>
    </w:p>
    <w:p w:rsidR="00F42AAF" w:rsidRPr="00A10184" w:rsidRDefault="00F42AAF" w:rsidP="00F42AAF">
      <w:pPr>
        <w:numPr>
          <w:ilvl w:val="0"/>
          <w:numId w:val="3"/>
        </w:numPr>
        <w:tabs>
          <w:tab w:val="left" w:pos="567"/>
        </w:tabs>
        <w:suppressAutoHyphens/>
        <w:spacing w:after="0" w:line="240" w:lineRule="auto"/>
        <w:ind w:left="567"/>
        <w:rPr>
          <w:rFonts w:ascii="Times New Roman" w:eastAsia="T1" w:hAnsi="Times New Roman" w:cs="Times New Roman"/>
          <w:color w:val="00000A"/>
        </w:rPr>
      </w:pPr>
      <w:r w:rsidRPr="00A10184">
        <w:rPr>
          <w:rFonts w:ascii="Times New Roman" w:eastAsia="T1" w:hAnsi="Times New Roman" w:cs="Times New Roman"/>
          <w:color w:val="00000A"/>
        </w:rPr>
        <w:t>jeigu ribojate natrio kiekį maiste.</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Rizikos veiksniai, sukeliantys vitamino K stoką, bei rizikos veiksniai, susiję su kitais kraujo krešėjimo sutrikimais</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r w:rsidRPr="00A10184">
        <w:rPr>
          <w:rFonts w:ascii="Times New Roman" w:eastAsia="Times New Roman" w:hAnsi="Times New Roman" w:cs="Times New Roman"/>
          <w:color w:val="00000A"/>
        </w:rPr>
        <w:lastRenderedPageBreak/>
        <w:t>Retais atvejais gydymo cefazolinu metu gali atsirasti kraujo krešėjimo sutrikimų. Be to, kraujo krešėjimas gali sutrikti pacientams, kurie serga ligomis, sukeliančiomis ar pasunkinančiomis kraujavimą, pvz., hemofilija ar skrandžio arba žarnų opalige</w:t>
      </w:r>
      <w:r w:rsidRPr="00A10184">
        <w:rPr>
          <w:rFonts w:ascii="Times New Roman" w:eastAsia="Times New Roman" w:hAnsi="Times New Roman" w:cs="Times New Roman"/>
          <w:b/>
          <w:bCs/>
          <w:color w:val="00000A"/>
        </w:rPr>
        <w:t>.</w:t>
      </w:r>
      <w:r w:rsidRPr="00A10184">
        <w:rPr>
          <w:rFonts w:ascii="Times New Roman" w:eastAsia="Times New Roman" w:hAnsi="Times New Roman" w:cs="Times New Roman"/>
          <w:color w:val="00000A"/>
        </w:rPr>
        <w:t xml:space="preserve"> Tokiais atvejais bus atidžiai stebimas Jūsų kraujo krešėjimas.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Šio vaisto negalima švirkšti į nugaros smegenis supančią ertmę (povoratinklinę ertmę), kadangi gauta pranešimų apie toksinio poveikio centrinei nervų sistemai (įskaitant traukulius) atvejus.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Ilgalaikis cefazolino vartojimas gali sukelti priedinį užkrėtimą (superinfekciją). Gydytojas Jus atidžiai stebės ir, jei reikia, skirs gydymą.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szCs w:val="28"/>
          <w:lang w:eastAsia="ja-JP"/>
        </w:rPr>
      </w:pPr>
      <w:r w:rsidRPr="00A10184">
        <w:rPr>
          <w:rFonts w:ascii="Times New Roman" w:eastAsia="Times New Roman" w:hAnsi="Times New Roman" w:cs="Times New Roman"/>
          <w:b/>
          <w:bCs/>
          <w:color w:val="00000A"/>
          <w:szCs w:val="28"/>
          <w:lang w:eastAsia="ja-JP"/>
        </w:rPr>
        <w:t xml:space="preserve">Vaikams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szCs w:val="20"/>
        </w:rPr>
        <w:t xml:space="preserve">Rezol negalima vartoti išnešiotiems ir neišnešiotiems naujagimiams. </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szCs w:val="28"/>
          <w:lang w:eastAsia="ja-JP"/>
        </w:rPr>
      </w:pPr>
      <w:r w:rsidRPr="00A10184">
        <w:rPr>
          <w:rFonts w:ascii="Times New Roman" w:eastAsia="Times New Roman" w:hAnsi="Times New Roman" w:cs="Times New Roman"/>
          <w:b/>
          <w:bCs/>
          <w:color w:val="00000A"/>
          <w:lang w:eastAsia="ja-JP"/>
        </w:rPr>
        <w:t xml:space="preserve">Kiti vaistai ir </w:t>
      </w:r>
      <w:r w:rsidRPr="00A10184">
        <w:rPr>
          <w:rFonts w:ascii="Times New Roman" w:eastAsia="Times New Roman" w:hAnsi="Times New Roman" w:cs="Times New Roman"/>
          <w:b/>
          <w:bCs/>
          <w:color w:val="00000A"/>
          <w:szCs w:val="28"/>
          <w:lang w:eastAsia="ja-JP"/>
        </w:rPr>
        <w:t>Rezol</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 xml:space="preserve">Jeigu vartojate ar neseniai vartojote kitų vaistų arba dėl to nesate tikri, apie tai pasakykite gydytojui arba vaistininkui. Tai apima ir vaistus, įsigytus be recepto, ir augalinius preparatus. Apie tai pasakyti reikia todėl, kad </w:t>
      </w:r>
      <w:r w:rsidRPr="00A10184">
        <w:rPr>
          <w:rFonts w:ascii="Times New Roman" w:eastAsia="Times New Roman" w:hAnsi="Times New Roman" w:cs="Times New Roman"/>
          <w:color w:val="00000A"/>
          <w:szCs w:val="20"/>
        </w:rPr>
        <w:t xml:space="preserve">Rezol </w:t>
      </w:r>
      <w:r w:rsidRPr="00A10184">
        <w:rPr>
          <w:rFonts w:ascii="Times New Roman" w:eastAsia="Times New Roman" w:hAnsi="Times New Roman" w:cs="Times New Roman"/>
          <w:color w:val="00000A"/>
        </w:rPr>
        <w:t xml:space="preserve">gali keisti kai kurių vaistų poveikį, o kai kurie vaistai - </w:t>
      </w:r>
      <w:r w:rsidRPr="00A10184">
        <w:rPr>
          <w:rFonts w:ascii="Times New Roman" w:eastAsia="Times New Roman" w:hAnsi="Times New Roman" w:cs="Times New Roman"/>
          <w:color w:val="00000A"/>
          <w:szCs w:val="20"/>
        </w:rPr>
        <w:t xml:space="preserve">Rezol </w:t>
      </w:r>
      <w:r w:rsidRPr="00A10184">
        <w:rPr>
          <w:rFonts w:ascii="Times New Roman" w:eastAsia="Times New Roman" w:hAnsi="Times New Roman" w:cs="Times New Roman"/>
          <w:color w:val="00000A"/>
        </w:rPr>
        <w:t>poveikį.</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Ypač svarbu pasakyti gydytojui arba slaugytojui, jeigu vartojate bet kurį iš toliau išvardytų vaistų.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numPr>
          <w:ilvl w:val="0"/>
          <w:numId w:val="5"/>
        </w:numPr>
        <w:tabs>
          <w:tab w:val="left" w:pos="567"/>
        </w:tabs>
        <w:suppressAutoHyphens/>
        <w:spacing w:after="0" w:line="240" w:lineRule="auto"/>
        <w:ind w:left="567"/>
        <w:rPr>
          <w:rFonts w:ascii="Times New Roman" w:eastAsia="Times New Roman" w:hAnsi="Times New Roman" w:cs="Times New Roman"/>
          <w:color w:val="00000A"/>
          <w:sz w:val="20"/>
          <w:szCs w:val="20"/>
        </w:rPr>
      </w:pPr>
      <w:r w:rsidRPr="00A10184">
        <w:rPr>
          <w:rFonts w:ascii="Times New Roman" w:eastAsia="Times New Roman" w:hAnsi="Times New Roman" w:cs="Times New Roman"/>
          <w:color w:val="00000A"/>
        </w:rPr>
        <w:t>Aminoglikozidai ar kitokie antibiotikai (jų vartojama infekcinėms ligoms gydyti</w:t>
      </w:r>
      <w:r w:rsidRPr="00A10184">
        <w:rPr>
          <w:rFonts w:ascii="Times New Roman" w:eastAsia="Times New Roman" w:hAnsi="Times New Roman" w:cs="Times New Roman"/>
          <w:color w:val="00000A"/>
          <w:sz w:val="20"/>
          <w:szCs w:val="20"/>
        </w:rPr>
        <w:t>).</w:t>
      </w:r>
    </w:p>
    <w:p w:rsidR="00F42AAF" w:rsidRPr="00A10184" w:rsidRDefault="00F42AAF" w:rsidP="00F42AAF">
      <w:pPr>
        <w:numPr>
          <w:ilvl w:val="0"/>
          <w:numId w:val="5"/>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Probenecidas (juo gydoma podagra).</w:t>
      </w:r>
    </w:p>
    <w:p w:rsidR="00F42AAF" w:rsidRPr="00A10184" w:rsidRDefault="00F42AAF" w:rsidP="00F42AAF">
      <w:pPr>
        <w:numPr>
          <w:ilvl w:val="0"/>
          <w:numId w:val="5"/>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Vitaminas K.</w:t>
      </w:r>
    </w:p>
    <w:p w:rsidR="00F42AAF" w:rsidRPr="00A10184" w:rsidRDefault="00F42AAF" w:rsidP="00F42AAF">
      <w:pPr>
        <w:numPr>
          <w:ilvl w:val="0"/>
          <w:numId w:val="5"/>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Antikoaguliantai (vaistai kraujui skystinti).</w:t>
      </w:r>
    </w:p>
    <w:p w:rsidR="00F42AAF" w:rsidRPr="00A10184" w:rsidRDefault="00F42AAF" w:rsidP="00F42AAF">
      <w:pPr>
        <w:numPr>
          <w:ilvl w:val="0"/>
          <w:numId w:val="5"/>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Furozemidas (šlapimo išsiskyrimą skatinantis vaistas).</w:t>
      </w:r>
    </w:p>
    <w:p w:rsidR="00F42AAF" w:rsidRPr="00A10184" w:rsidRDefault="00F42AAF" w:rsidP="00F42AAF">
      <w:pPr>
        <w:numPr>
          <w:ilvl w:val="0"/>
          <w:numId w:val="5"/>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Geriamieji kontraceptikai.</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szCs w:val="20"/>
        </w:rPr>
        <w:t>Turite pasakyti savo gydytojui arba vaistininkui, jei Jums tiriama gliukozė šlapime arba atliekami kraujo tyrimai.</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Nėštumas ir žindymo laikotarpis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Jeigu esate nėščia, žindote kūdikį, manote, kad galbūt esate nėščia, arba planuojate pastoti, tai prieš vartodama šį vaistą, pasitarkite su gydytoju arba vaistininku.</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F42AAF">
      <w:pPr>
        <w:tabs>
          <w:tab w:val="left" w:pos="284"/>
          <w:tab w:val="left" w:pos="567"/>
        </w:tabs>
        <w:suppressAutoHyphens/>
        <w:spacing w:after="0" w:line="260" w:lineRule="exact"/>
        <w:rPr>
          <w:rFonts w:ascii="Times New Roman" w:eastAsia="Times New Roman" w:hAnsi="Times New Roman" w:cs="Times New Roman"/>
          <w:color w:val="000000"/>
        </w:rPr>
      </w:pPr>
      <w:r w:rsidRPr="00A10184">
        <w:rPr>
          <w:rFonts w:ascii="Times New Roman" w:eastAsia="Times New Roman" w:hAnsi="Times New Roman" w:cs="Times New Roman"/>
          <w:color w:val="000000"/>
        </w:rPr>
        <w:t>Cefazolino nėštumo laikotarpiu galima vartoti tik atidžiai įvertinus riziką ir naudą, kadangi nėščių moterų gydymo patirties trūksta ir cefazolinas prasiskverbia pro placentą, ypač pirmojo nėštumo trimestro metu. Cefazolino nėštumo laikotarpiu rekomenduojama nevartoti, nebent tai neabejotinai būtina.</w:t>
      </w:r>
    </w:p>
    <w:p w:rsidR="00F42AAF" w:rsidRPr="00A10184" w:rsidRDefault="00F42AAF" w:rsidP="00F42AAF">
      <w:pPr>
        <w:tabs>
          <w:tab w:val="left" w:pos="284"/>
          <w:tab w:val="left" w:pos="567"/>
        </w:tabs>
        <w:suppressAutoHyphens/>
        <w:spacing w:after="0" w:line="260" w:lineRule="exact"/>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Žindančioms moterims Rezol reikia skirti atsargiai, kadangi šiek tiek jo patenka į motinos pieną.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Vairavimas ir mechanizmų valdymas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Cefazolinas nesukelia poveikio gebėjimui vairuoti ir valdyti mechanizmus.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0"/>
          <w:lang w:eastAsia="ja-JP"/>
        </w:rPr>
      </w:pPr>
      <w:r w:rsidRPr="00A10184">
        <w:rPr>
          <w:rFonts w:ascii="Times New Roman" w:eastAsia="Times New Roman" w:hAnsi="Times New Roman" w:cs="Times New Roman"/>
          <w:b/>
          <w:bCs/>
          <w:color w:val="00000A"/>
          <w:szCs w:val="28"/>
          <w:lang w:eastAsia="ja-JP"/>
        </w:rPr>
        <w:t xml:space="preserve">Rezol </w:t>
      </w:r>
      <w:r w:rsidRPr="00A10184">
        <w:rPr>
          <w:rFonts w:ascii="Times New Roman" w:eastAsia="Times New Roman" w:hAnsi="Times New Roman" w:cs="Times New Roman"/>
          <w:b/>
          <w:bCs/>
          <w:color w:val="00000A"/>
          <w:lang w:eastAsia="ja-JP"/>
        </w:rPr>
        <w:t xml:space="preserve">sudėtyje yra </w:t>
      </w:r>
      <w:r w:rsidRPr="00A10184">
        <w:rPr>
          <w:rFonts w:ascii="Times New Roman" w:eastAsia="Times New Roman" w:hAnsi="Times New Roman" w:cs="Times New Roman"/>
          <w:b/>
          <w:bCs/>
          <w:color w:val="000000"/>
          <w:lang w:eastAsia="ja-JP"/>
        </w:rPr>
        <w:t>natrio</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0"/>
          <w:szCs w:val="20"/>
        </w:rPr>
        <w:t xml:space="preserve">Kiekviename 1 g flakone yra maždaug 2,2 mmol (50,6 mg) </w:t>
      </w:r>
      <w:r w:rsidRPr="00A10184">
        <w:rPr>
          <w:rFonts w:ascii="Times New Roman" w:eastAsia="Times New Roman" w:hAnsi="Times New Roman" w:cs="Times New Roman"/>
          <w:color w:val="00000A"/>
          <w:szCs w:val="20"/>
        </w:rPr>
        <w:t xml:space="preserve">natrio. </w:t>
      </w:r>
      <w:r w:rsidRPr="00A10184">
        <w:rPr>
          <w:rFonts w:ascii="Times New Roman" w:eastAsia="Times New Roman" w:hAnsi="Times New Roman" w:cs="Times New Roman"/>
          <w:color w:val="00000A"/>
        </w:rPr>
        <w:t>Būtina atsižvelgti, jei kontroliuojamas natrio kiekis maiste.</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keepLines/>
        <w:tabs>
          <w:tab w:val="left" w:pos="567"/>
        </w:tabs>
        <w:suppressAutoHyphens/>
        <w:spacing w:after="0" w:line="240" w:lineRule="auto"/>
        <w:outlineLvl w:val="2"/>
        <w:rPr>
          <w:rFonts w:ascii="Times New Roman" w:eastAsia="Times New Roman" w:hAnsi="Times New Roman" w:cs="Times New Roman"/>
          <w:b/>
          <w:bCs/>
          <w:color w:val="00000A"/>
          <w:szCs w:val="26"/>
          <w:lang w:eastAsia="ja-JP"/>
        </w:rPr>
      </w:pPr>
      <w:r w:rsidRPr="00A10184">
        <w:rPr>
          <w:rFonts w:ascii="Times New Roman" w:eastAsia="Times New Roman" w:hAnsi="Times New Roman" w:cs="Times New Roman"/>
          <w:b/>
          <w:bCs/>
          <w:color w:val="00000A"/>
          <w:lang w:eastAsia="ja-JP"/>
        </w:rPr>
        <w:t>3.</w:t>
      </w:r>
      <w:r w:rsidRPr="00A10184">
        <w:rPr>
          <w:rFonts w:ascii="Times New Roman" w:eastAsia="Times New Roman" w:hAnsi="Times New Roman" w:cs="Times New Roman"/>
          <w:b/>
          <w:bCs/>
          <w:color w:val="00000A"/>
          <w:lang w:eastAsia="ja-JP"/>
        </w:rPr>
        <w:tab/>
        <w:t xml:space="preserve">Kaip vartoti </w:t>
      </w:r>
      <w:r w:rsidRPr="00A10184">
        <w:rPr>
          <w:rFonts w:ascii="Times New Roman" w:eastAsia="Times New Roman" w:hAnsi="Times New Roman" w:cs="Times New Roman"/>
          <w:b/>
          <w:bCs/>
          <w:color w:val="00000A"/>
          <w:szCs w:val="26"/>
          <w:lang w:eastAsia="ja-JP"/>
        </w:rPr>
        <w:t>Rezol</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szCs w:val="20"/>
        </w:rPr>
        <w:t xml:space="preserve">Rezol </w:t>
      </w:r>
      <w:r w:rsidRPr="00A10184">
        <w:rPr>
          <w:rFonts w:ascii="Times New Roman" w:eastAsia="Times New Roman" w:hAnsi="Times New Roman" w:cs="Times New Roman"/>
          <w:color w:val="00000A"/>
        </w:rPr>
        <w:t>Jums suleis gydytojas arba slaugytojas. Vaisto bus suleista vienu iš toliau išvardytų metodų.</w:t>
      </w:r>
    </w:p>
    <w:p w:rsidR="00F42AAF" w:rsidRPr="00A10184" w:rsidRDefault="00F42AAF" w:rsidP="00F42AAF">
      <w:pPr>
        <w:numPr>
          <w:ilvl w:val="0"/>
          <w:numId w:val="6"/>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Suleidžiama į raumenis (pvz., į rankos raumenis).</w:t>
      </w:r>
    </w:p>
    <w:p w:rsidR="00F42AAF" w:rsidRPr="00A10184" w:rsidRDefault="00F42AAF" w:rsidP="00F42AAF">
      <w:pPr>
        <w:numPr>
          <w:ilvl w:val="0"/>
          <w:numId w:val="6"/>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Lėtai (per 3</w:t>
      </w:r>
      <w:r w:rsidRPr="00A10184">
        <w:rPr>
          <w:rFonts w:ascii="Times New Roman" w:eastAsia="Times New Roman" w:hAnsi="Times New Roman" w:cs="Times New Roman"/>
          <w:color w:val="00000A"/>
        </w:rPr>
        <w:noBreakHyphen/>
        <w:t>5 minutes) suleidžiama į vieną iš Jūsų venų.</w:t>
      </w:r>
    </w:p>
    <w:p w:rsidR="00F42AAF" w:rsidRPr="00A10184" w:rsidRDefault="00F42AAF" w:rsidP="00F42AAF">
      <w:pPr>
        <w:numPr>
          <w:ilvl w:val="0"/>
          <w:numId w:val="6"/>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 xml:space="preserve">Sulašinama per mažą vamzdelį, įkištą į vieną iš Jūsų venų (tai vadinama infuzija į veną). </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szCs w:val="20"/>
        </w:rPr>
        <w:t xml:space="preserve">Rezol </w:t>
      </w:r>
      <w:r w:rsidRPr="00A10184">
        <w:rPr>
          <w:rFonts w:ascii="Times New Roman" w:eastAsia="Times New Roman" w:hAnsi="Times New Roman" w:cs="Times New Roman"/>
          <w:color w:val="00000A"/>
        </w:rPr>
        <w:t>dozę nustatys gydytojas, atsižvelgdamas į Jūsų amžių, kūno svorį, infekcinės ligos sunkumą ir inkstų veiklą. Gydytojas Jums tai paaiškins.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Suaugusieji, įskaitant senyvus žmones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Didžiausia paros dozė yra 6 g.</w:t>
      </w:r>
    </w:p>
    <w:p w:rsidR="00F42AAF" w:rsidRPr="00A10184" w:rsidRDefault="00F42AAF" w:rsidP="00F42AAF">
      <w:pPr>
        <w:numPr>
          <w:ilvl w:val="0"/>
          <w:numId w:val="7"/>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Jeigu gydoma infekcinė liga, paros dozė gali būti 1</w:t>
      </w:r>
      <w:r w:rsidRPr="00A10184">
        <w:rPr>
          <w:rFonts w:ascii="Times New Roman" w:eastAsia="Times New Roman" w:hAnsi="Times New Roman" w:cs="Times New Roman"/>
          <w:color w:val="00000A"/>
        </w:rPr>
        <w:noBreakHyphen/>
        <w:t>6 g, tai priklauso nuo infekcinės ligos sunkumo.</w:t>
      </w:r>
    </w:p>
    <w:p w:rsidR="00F42AAF" w:rsidRPr="00A10184" w:rsidRDefault="00F42AAF" w:rsidP="00F42AAF">
      <w:pPr>
        <w:numPr>
          <w:ilvl w:val="0"/>
          <w:numId w:val="7"/>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Jeigu Jums bus atliekama operacija, iki operacijos pradžios likus 30</w:t>
      </w:r>
      <w:r w:rsidRPr="00A10184">
        <w:rPr>
          <w:rFonts w:ascii="Times New Roman" w:eastAsia="Times New Roman" w:hAnsi="Times New Roman" w:cs="Times New Roman"/>
          <w:color w:val="00000A"/>
        </w:rPr>
        <w:noBreakHyphen/>
        <w:t>60 minučių Jums gali būti suleista 1 g dozė.</w:t>
      </w:r>
    </w:p>
    <w:p w:rsidR="00F42AAF" w:rsidRPr="00A10184" w:rsidRDefault="00F42AAF" w:rsidP="00F42AAF">
      <w:pPr>
        <w:numPr>
          <w:ilvl w:val="0"/>
          <w:numId w:val="7"/>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Jeigu operacija ilga, jos metu gali būti suleista papildoma 500 mg</w:t>
      </w:r>
      <w:r w:rsidRPr="00A10184">
        <w:rPr>
          <w:rFonts w:ascii="Times New Roman" w:eastAsia="Times New Roman" w:hAnsi="Times New Roman" w:cs="Times New Roman"/>
          <w:color w:val="00000A"/>
        </w:rPr>
        <w:noBreakHyphen/>
        <w:t xml:space="preserve">1 g dozė. Gydymas </w:t>
      </w:r>
      <w:r w:rsidRPr="00A10184">
        <w:rPr>
          <w:rFonts w:ascii="Times New Roman" w:eastAsia="Times New Roman" w:hAnsi="Times New Roman" w:cs="Times New Roman"/>
          <w:color w:val="00000A"/>
          <w:szCs w:val="20"/>
        </w:rPr>
        <w:t xml:space="preserve">Rezol </w:t>
      </w:r>
      <w:r w:rsidRPr="00A10184">
        <w:rPr>
          <w:rFonts w:ascii="Times New Roman" w:eastAsia="Times New Roman" w:hAnsi="Times New Roman" w:cs="Times New Roman"/>
          <w:color w:val="00000A"/>
        </w:rPr>
        <w:t>gali būti tęsiamas 24 valandas po operacijos, siekiant neleisti pasireikšti infekcijai.</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Vartojimas vaikams ir kūdikiams (1 mėnesio ir vyresniems)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color w:val="00000A"/>
        </w:rPr>
      </w:pPr>
      <w:r w:rsidRPr="00A10184">
        <w:rPr>
          <w:rFonts w:ascii="Times New Roman" w:eastAsia="Times New Roman" w:hAnsi="Times New Roman" w:cs="Times New Roman"/>
          <w:color w:val="00000A"/>
        </w:rPr>
        <w:t xml:space="preserve">Dozę nustatys gydytojas, atsižvelgdamas į vaiko kūno svorį. Vaikams paros dozė gali būti </w:t>
      </w:r>
      <w:r w:rsidRPr="00A10184">
        <w:rPr>
          <w:rFonts w:ascii="Times New Roman" w:eastAsia="Times New Roman" w:hAnsi="Times New Roman" w:cs="Times New Roman"/>
          <w:bCs/>
          <w:color w:val="00000A"/>
        </w:rPr>
        <w:t>25</w:t>
      </w:r>
      <w:r w:rsidRPr="00A10184">
        <w:rPr>
          <w:rFonts w:ascii="Times New Roman" w:eastAsia="Times New Roman" w:hAnsi="Times New Roman" w:cs="Times New Roman"/>
          <w:bCs/>
          <w:color w:val="00000A"/>
        </w:rPr>
        <w:noBreakHyphen/>
        <w:t>50 mg/kg kūno svorio. Atsižvelgiant į infekcinės ligos sunkumą, dozė gali būti didinama iki 100 mg/kg kūno svorio.</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Suaugusieji ir vaikai, kuriems yra inkstų sutrikimų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Jei Jums yra inkstų sutrikimų, Jums gali reikėti vartoti mažesnę dozę. Gali reikėti atlikti kraujo tyrimus, kad būtų galima patikrinti, ar vartojate reikiamą dozę.</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 xml:space="preserve">Ką daryti pavartojus per didelę </w:t>
      </w:r>
      <w:r w:rsidRPr="00A10184">
        <w:rPr>
          <w:rFonts w:ascii="Times New Roman" w:eastAsia="Times New Roman" w:hAnsi="Times New Roman" w:cs="Times New Roman"/>
          <w:b/>
          <w:bCs/>
          <w:color w:val="00000A"/>
          <w:szCs w:val="28"/>
          <w:lang w:eastAsia="ja-JP"/>
        </w:rPr>
        <w:t xml:space="preserve">Rezol </w:t>
      </w:r>
      <w:r w:rsidRPr="00A10184">
        <w:rPr>
          <w:rFonts w:ascii="Times New Roman" w:eastAsia="Times New Roman" w:hAnsi="Times New Roman" w:cs="Times New Roman"/>
          <w:b/>
          <w:bCs/>
          <w:color w:val="00000A"/>
          <w:lang w:eastAsia="ja-JP"/>
        </w:rPr>
        <w:t>dozę?</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 xml:space="preserve">Jei manote, kad Jums suleista per didelė </w:t>
      </w:r>
      <w:r w:rsidRPr="00A10184">
        <w:rPr>
          <w:rFonts w:ascii="Times New Roman" w:eastAsia="Times New Roman" w:hAnsi="Times New Roman" w:cs="Times New Roman"/>
          <w:color w:val="00000A"/>
          <w:szCs w:val="20"/>
        </w:rPr>
        <w:t>vaisto</w:t>
      </w:r>
      <w:r w:rsidRPr="00A10184">
        <w:rPr>
          <w:rFonts w:ascii="Times New Roman" w:eastAsia="Times New Roman" w:hAnsi="Times New Roman" w:cs="Times New Roman"/>
          <w:color w:val="00000A"/>
        </w:rPr>
        <w:t xml:space="preserve"> dozė, pasakykite savo gydytojui arba slaugytojui.</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color w:val="00000A"/>
          <w:szCs w:val="20"/>
        </w:rPr>
      </w:pPr>
      <w:r w:rsidRPr="00A10184">
        <w:rPr>
          <w:rFonts w:ascii="Times New Roman" w:eastAsia="Times New Roman" w:hAnsi="Times New Roman" w:cs="Times New Roman"/>
          <w:b/>
          <w:color w:val="00000A"/>
        </w:rPr>
        <w:t>Pamir</w:t>
      </w:r>
      <w:r w:rsidRPr="00A10184">
        <w:rPr>
          <w:rFonts w:ascii="Times New Roman" w:eastAsia="Times New Roman" w:hAnsi="Times New Roman" w:cs="Times New Roman"/>
          <w:b/>
          <w:color w:val="00000A"/>
          <w:szCs w:val="20"/>
        </w:rPr>
        <w:t>šus pavartoti Rezol</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szCs w:val="20"/>
        </w:rPr>
        <w:t>Jei manote, kad nebuvo laiku suleista vaisto, kreipkit</w:t>
      </w:r>
      <w:r w:rsidRPr="00A10184">
        <w:rPr>
          <w:rFonts w:ascii="TimesNewRoman" w:eastAsia="Times New Roman" w:hAnsi="TimesNewRoman" w:cs="Times New Roman"/>
          <w:color w:val="00000A"/>
          <w:szCs w:val="20"/>
        </w:rPr>
        <w:t>ė</w:t>
      </w:r>
      <w:r w:rsidRPr="00A10184">
        <w:rPr>
          <w:rFonts w:ascii="Times New Roman" w:eastAsia="Times New Roman" w:hAnsi="Times New Roman" w:cs="Times New Roman"/>
          <w:color w:val="00000A"/>
          <w:szCs w:val="20"/>
        </w:rPr>
        <w:t xml:space="preserve">s </w:t>
      </w:r>
      <w:r w:rsidRPr="00A10184">
        <w:rPr>
          <w:rFonts w:ascii="TimesNewRoman" w:eastAsia="Times New Roman" w:hAnsi="TimesNewRoman" w:cs="Times New Roman"/>
          <w:color w:val="00000A"/>
          <w:szCs w:val="20"/>
        </w:rPr>
        <w:t xml:space="preserve">į </w:t>
      </w:r>
      <w:r w:rsidRPr="00A10184">
        <w:rPr>
          <w:rFonts w:ascii="Times New Roman" w:eastAsia="Times New Roman" w:hAnsi="Times New Roman" w:cs="Times New Roman"/>
          <w:color w:val="00000A"/>
          <w:szCs w:val="20"/>
        </w:rPr>
        <w:t>gydytoj</w:t>
      </w:r>
      <w:r w:rsidRPr="00A10184">
        <w:rPr>
          <w:rFonts w:ascii="TimesNewRoman" w:eastAsia="Times New Roman" w:hAnsi="TimesNewRoman" w:cs="Times New Roman"/>
          <w:color w:val="00000A"/>
          <w:szCs w:val="20"/>
        </w:rPr>
        <w:t xml:space="preserve">ą </w:t>
      </w:r>
      <w:r w:rsidRPr="00A10184">
        <w:rPr>
          <w:rFonts w:ascii="Times New Roman" w:eastAsia="Times New Roman" w:hAnsi="Times New Roman" w:cs="Times New Roman"/>
          <w:color w:val="00000A"/>
          <w:szCs w:val="20"/>
        </w:rPr>
        <w:t>ar slaugytoj</w:t>
      </w:r>
      <w:r w:rsidRPr="00A10184">
        <w:rPr>
          <w:rFonts w:ascii="TimesNewRoman" w:eastAsia="Times New Roman" w:hAnsi="TimesNewRoman" w:cs="Times New Roman"/>
          <w:color w:val="00000A"/>
          <w:szCs w:val="20"/>
        </w:rPr>
        <w:t>ą</w:t>
      </w:r>
      <w:r w:rsidRPr="00A10184">
        <w:rPr>
          <w:rFonts w:ascii="Times New Roman" w:eastAsia="Times New Roman" w:hAnsi="Times New Roman" w:cs="Times New Roman"/>
          <w:color w:val="00000A"/>
          <w:szCs w:val="20"/>
        </w:rPr>
        <w:t>.</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9"/>
        <w:rPr>
          <w:rFonts w:ascii="Times New Roman" w:eastAsia="Times New Roman" w:hAnsi="Times New Roman" w:cs="Times New Roman"/>
          <w:color w:val="00000A"/>
        </w:rPr>
      </w:pPr>
      <w:r w:rsidRPr="00A10184">
        <w:rPr>
          <w:rFonts w:ascii="Times New Roman" w:eastAsia="Times New Roman" w:hAnsi="Times New Roman" w:cs="Times New Roman"/>
          <w:color w:val="00000A"/>
        </w:rPr>
        <w:t>Jeigu kiltų daugiau klausimų dėl šio vaisto vartojimo, kreipkitės į gydytoją arba slaugytoją.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keepNext/>
        <w:keepLines/>
        <w:tabs>
          <w:tab w:val="left" w:pos="567"/>
        </w:tabs>
        <w:suppressAutoHyphens/>
        <w:spacing w:after="0" w:line="240" w:lineRule="auto"/>
        <w:outlineLvl w:val="2"/>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4.</w:t>
      </w:r>
      <w:r w:rsidRPr="00A10184">
        <w:rPr>
          <w:rFonts w:ascii="Times New Roman" w:eastAsia="Times New Roman" w:hAnsi="Times New Roman" w:cs="Times New Roman"/>
          <w:b/>
          <w:bCs/>
          <w:color w:val="00000A"/>
          <w:lang w:eastAsia="ja-JP"/>
        </w:rPr>
        <w:tab/>
        <w:t>Galimas šalutinis poveikis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9"/>
        <w:rPr>
          <w:rFonts w:ascii="Times New Roman" w:eastAsia="Times New Roman" w:hAnsi="Times New Roman" w:cs="Times New Roman"/>
          <w:color w:val="00000A"/>
        </w:rPr>
      </w:pPr>
      <w:r w:rsidRPr="00A10184">
        <w:rPr>
          <w:rFonts w:ascii="Times New Roman" w:eastAsia="Times New Roman" w:hAnsi="Times New Roman" w:cs="Times New Roman"/>
          <w:color w:val="00000A"/>
        </w:rPr>
        <w:t>Šis vaistas, kaip ir visi kiti, gali sukelti šalutinį poveikį, nors jis pasireiškia ne visiems žmonėms.</w:t>
      </w:r>
    </w:p>
    <w:p w:rsidR="00F42AAF" w:rsidRPr="00A10184" w:rsidRDefault="00F42AAF" w:rsidP="00F42AAF">
      <w:pPr>
        <w:tabs>
          <w:tab w:val="left" w:pos="567"/>
        </w:tabs>
        <w:suppressAutoHyphens/>
        <w:spacing w:after="0" w:line="240" w:lineRule="auto"/>
        <w:ind w:right="-29"/>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b/>
          <w:bCs/>
          <w:color w:val="00000A"/>
        </w:rPr>
        <w:t xml:space="preserve">Sunkios alerginės reakcijos </w:t>
      </w:r>
      <w:r w:rsidRPr="00A10184">
        <w:rPr>
          <w:rFonts w:ascii="Times New Roman" w:eastAsia="Times New Roman" w:hAnsi="Times New Roman" w:cs="Times New Roman"/>
          <w:color w:val="00000A"/>
        </w:rPr>
        <w:t xml:space="preserve">(labai retos, </w:t>
      </w:r>
      <w:r w:rsidRPr="00A10184">
        <w:rPr>
          <w:rFonts w:ascii="Times New Roman" w:eastAsia="Times New Roman" w:hAnsi="Times New Roman" w:cs="Times New Roman"/>
          <w:bCs/>
          <w:color w:val="00000A"/>
        </w:rPr>
        <w:t>gali pasireikšti mažiau kaip 1 žmogui iš 10 000</w:t>
      </w:r>
      <w:r w:rsidRPr="00A10184">
        <w:rPr>
          <w:rFonts w:ascii="Times New Roman" w:eastAsia="Times New Roman" w:hAnsi="Times New Roman" w:cs="Times New Roman"/>
          <w:color w:val="00000A"/>
        </w:rPr>
        <w:t>)</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 xml:space="preserve">Jei Jums pasireiškia sunki alerginė reakcija, </w:t>
      </w:r>
      <w:r w:rsidRPr="00A10184">
        <w:rPr>
          <w:rFonts w:ascii="Times New Roman" w:eastAsia="Times New Roman" w:hAnsi="Times New Roman" w:cs="Times New Roman"/>
          <w:b/>
          <w:bCs/>
          <w:color w:val="00000A"/>
        </w:rPr>
        <w:t>nedelsdami kreipkitės į gydytoją</w:t>
      </w:r>
      <w:r w:rsidRPr="00A10184">
        <w:rPr>
          <w:rFonts w:ascii="Times New Roman" w:eastAsia="Times New Roman" w:hAnsi="Times New Roman" w:cs="Times New Roman"/>
          <w:color w:val="00000A"/>
        </w:rPr>
        <w:t>.</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Toliau išvardyti galimi požymiai.</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Staigus veido, gerklės, lūpų ar burnos patinimas (gali pasunkėti kvėpavimas ir rijimas).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Staigus plaštakų, pėdų ir kulkšnių patinimas.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Kitoks galimas šalutinis poveikis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Dažnas (gali pasireikšti mažiau kaip 1 žmogui iš 10)</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Odos išbėrimas.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Pykinimas ir vėmimas.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Viduriavimas.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Skausmas ir sukietėjimas injekcijos vietoje.</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Nedažnas (gali pasireikšti mažiau kaip 1 žmogui iš 100)</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Infekcijos – pienligė (įskaitant makšties uždegimą ir burnos pienligę)</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Karščiavimas.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Traukuliai.</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Venų uždegimas ar trombozė</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lastRenderedPageBreak/>
        <w:t>Kvėpavimo pasunkėjimas (dažnai su kosuliu).</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Odos paraudimas, odos niežėjimas, sąnarių maudimas, odos pažeidimas, išplitęs išbėrimas, dilgėlinė.</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Retas (gali pasireikšti mažiau kaip 1 žmogui iš 1 000)</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Makšties niežėjimas ar išskyros.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Kitokio tipo infekcinė liga.</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Kraujo ląstelių kiekio padidėjimas.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Svaigulys.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Kvėpavimo sutrikimas.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Kosulys.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Nosies bėgimas (sloga).</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Apetito netekimas.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Kepenų sutrikimai (nustatomi kraujo tyrimais).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Greitai atsirandantis sunkus išbėrimas, kuris atsiranda greitai, pasireiškiantis odos pūslėmis ir lupimusi (pūslių gali atsirasti ir burnoje).</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Stiprus nuovargis ar silpnumas.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Krūtinės skausmas.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color w:val="00000A"/>
        </w:rPr>
      </w:pPr>
      <w:r w:rsidRPr="00A10184">
        <w:rPr>
          <w:rFonts w:ascii="Times New Roman" w:eastAsia="Times New Roman" w:hAnsi="Times New Roman" w:cs="Times New Roman"/>
          <w:bCs/>
          <w:i/>
          <w:color w:val="00000A"/>
        </w:rPr>
        <w:t>Labai retas (gali pasireikšti mažiau kaip 1 žmogui iš 10 000)</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Kraujo krešėjimo sutrikimas.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Storosios (gaubtinės) žarnos uždegimas. Galimi požymiai yra viduriavimas (paprastai išmatose yra kraujo ir gleivių), pilvo skausmas ir karščiavimas.</w:t>
      </w:r>
    </w:p>
    <w:p w:rsidR="00F42AAF" w:rsidRPr="00A10184" w:rsidRDefault="00F42AAF" w:rsidP="00F42AAF">
      <w:pPr>
        <w:numPr>
          <w:ilvl w:val="0"/>
          <w:numId w:val="4"/>
        </w:numPr>
        <w:tabs>
          <w:tab w:val="left" w:pos="567"/>
        </w:tabs>
        <w:suppressAutoHyphens/>
        <w:spacing w:after="0" w:line="240" w:lineRule="auto"/>
        <w:ind w:left="567"/>
        <w:rPr>
          <w:rFonts w:ascii="Times New Roman" w:eastAsia="Times New Roman" w:hAnsi="Times New Roman" w:cs="Times New Roman"/>
          <w:color w:val="00000A"/>
        </w:rPr>
      </w:pPr>
      <w:r w:rsidRPr="00A10184">
        <w:rPr>
          <w:rFonts w:ascii="Times New Roman" w:eastAsia="Times New Roman" w:hAnsi="Times New Roman" w:cs="Times New Roman"/>
          <w:color w:val="00000A"/>
        </w:rPr>
        <w:t>Lytinių organų niežėjimas.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rPr>
        <w:t>Jeigu pasireiškė šalutinis poveikis, įskaitant šiame lapelyje nenurodytą, pasakykite gydytojui, vaistininkui arba slaugytojui</w:t>
      </w:r>
      <w:r w:rsidRPr="00A10184">
        <w:rPr>
          <w:rFonts w:ascii="Times New Roman" w:eastAsia="Times New Roman" w:hAnsi="Times New Roman" w:cs="Times New Roman"/>
          <w:color w:val="00000A"/>
          <w:szCs w:val="20"/>
        </w:rPr>
        <w:t>.</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color w:val="00000A"/>
        </w:rPr>
      </w:pPr>
      <w:r w:rsidRPr="00A10184">
        <w:rPr>
          <w:rFonts w:ascii="Times New Roman" w:eastAsia="Times New Roman" w:hAnsi="Times New Roman" w:cs="Times New Roman"/>
          <w:b/>
          <w:color w:val="00000A"/>
        </w:rPr>
        <w:t>Pranešimas apie šalutinį poveikį</w:t>
      </w:r>
    </w:p>
    <w:p w:rsidR="00F42AAF" w:rsidRPr="00A10184" w:rsidRDefault="00F42AAF" w:rsidP="00F42AAF">
      <w:pPr>
        <w:tabs>
          <w:tab w:val="left" w:pos="567"/>
        </w:tabs>
        <w:suppressAutoHyphens/>
        <w:spacing w:after="0" w:line="260" w:lineRule="exact"/>
        <w:ind w:right="-449"/>
        <w:rPr>
          <w:rFonts w:ascii="Times New Roman" w:eastAsia="Times New Roman" w:hAnsi="Times New Roman" w:cs="Times New Roman"/>
          <w:noProof/>
          <w:color w:val="00000A"/>
          <w:szCs w:val="24"/>
        </w:rPr>
      </w:pPr>
      <w:r w:rsidRPr="00A10184">
        <w:rPr>
          <w:rFonts w:ascii="Times New Roman" w:eastAsia="Times New Roman" w:hAnsi="Times New Roman" w:cs="Times New Roman"/>
          <w:color w:val="00000A"/>
          <w:szCs w:val="20"/>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w:t>
      </w:r>
      <w:r w:rsidRPr="00A10184">
        <w:rPr>
          <w:rFonts w:ascii="Times New Roman" w:eastAsia="Times New Roman" w:hAnsi="Times New Roman" w:cs="Times New Roman"/>
          <w:color w:val="00000A"/>
          <w:szCs w:val="20"/>
          <w:lang w:eastAsia="zh-CN"/>
        </w:rPr>
        <w:t>elefonu 8 800 73568</w:t>
      </w:r>
      <w:r w:rsidRPr="00A10184">
        <w:rPr>
          <w:rFonts w:ascii="Times New Roman" w:eastAsia="Times New Roman" w:hAnsi="Times New Roman" w:cs="Times New Roman"/>
          <w:color w:val="00000A"/>
          <w:szCs w:val="20"/>
        </w:rPr>
        <w:t xml:space="preserve"> arba užpildyti interneto svetainėje </w:t>
      </w:r>
      <w:hyperlink r:id="rId5" w:history="1">
        <w:r w:rsidRPr="00A10184">
          <w:rPr>
            <w:rFonts w:ascii="Times New Roman" w:eastAsia="SimSun" w:hAnsi="Times New Roman" w:cs="Times New Roman"/>
            <w:color w:val="0000FF"/>
            <w:szCs w:val="20"/>
            <w:u w:val="single"/>
          </w:rPr>
          <w:t>www.vvkt.lt</w:t>
        </w:r>
      </w:hyperlink>
      <w:r w:rsidRPr="00A10184">
        <w:rPr>
          <w:rFonts w:ascii="Times New Roman" w:eastAsia="Times New Roman" w:hAnsi="Times New Roman" w:cs="Times New Roman"/>
          <w:color w:val="00000A"/>
          <w:szCs w:val="20"/>
        </w:rPr>
        <w:t xml:space="preserve"> esančią formą ir pateikti ją Valstybinei vaistų kontrolės tarnybai prie Lietuvos Respublikos sveikatos apsaugos ministerijos vienu iš šių būdų: raštu (adresu Žirmūnų g. 139A, LT-09120 Vilnius), </w:t>
      </w:r>
      <w:r w:rsidRPr="00A10184">
        <w:rPr>
          <w:rFonts w:ascii="Times New Roman" w:eastAsia="Times New Roman" w:hAnsi="Times New Roman" w:cs="Times New Roman"/>
          <w:color w:val="00000A"/>
          <w:szCs w:val="20"/>
          <w:lang w:eastAsia="zh-CN"/>
        </w:rPr>
        <w:t xml:space="preserve">nemokamu </w:t>
      </w:r>
      <w:r w:rsidRPr="00A10184">
        <w:rPr>
          <w:rFonts w:ascii="Times New Roman" w:eastAsia="Times New Roman" w:hAnsi="Times New Roman" w:cs="Times New Roman"/>
          <w:color w:val="00000A"/>
          <w:szCs w:val="20"/>
        </w:rPr>
        <w:t>fakso numeriu 8 800 20131</w:t>
      </w:r>
      <w:r w:rsidRPr="00A10184">
        <w:rPr>
          <w:rFonts w:ascii="Times New Roman" w:eastAsia="Times New Roman" w:hAnsi="Times New Roman" w:cs="Times New Roman"/>
          <w:color w:val="00000A"/>
          <w:szCs w:val="20"/>
          <w:lang w:eastAsia="zh-CN"/>
        </w:rPr>
        <w:t xml:space="preserve">, </w:t>
      </w:r>
      <w:r w:rsidRPr="00A10184">
        <w:rPr>
          <w:rFonts w:ascii="Times New Roman" w:eastAsia="Times New Roman" w:hAnsi="Times New Roman" w:cs="Times New Roman"/>
          <w:color w:val="00000A"/>
          <w:szCs w:val="20"/>
        </w:rPr>
        <w:t xml:space="preserve">el. paštu </w:t>
      </w:r>
      <w:hyperlink r:id="rId6" w:history="1">
        <w:r w:rsidRPr="00A10184">
          <w:rPr>
            <w:rFonts w:ascii="Times New Roman" w:eastAsia="SimSun" w:hAnsi="Times New Roman" w:cs="Times New Roman"/>
            <w:color w:val="0000FF"/>
            <w:szCs w:val="20"/>
            <w:u w:val="single"/>
          </w:rPr>
          <w:t>NepageidaujamaR@vvkt.lt</w:t>
        </w:r>
      </w:hyperlink>
      <w:r w:rsidRPr="00A10184">
        <w:rPr>
          <w:rFonts w:ascii="Times New Roman" w:eastAsia="Times New Roman" w:hAnsi="Times New Roman" w:cs="Times New Roman"/>
          <w:color w:val="00000A"/>
          <w:szCs w:val="20"/>
        </w:rPr>
        <w:t xml:space="preserve">, taip pat per Valstybinės vaistų kontrolės tarnybos prie Lietuvos Respublikos sveikatos apsaugos ministerijos interneto svetainę (adresu </w:t>
      </w:r>
      <w:hyperlink r:id="rId7" w:history="1">
        <w:r w:rsidRPr="00A10184">
          <w:rPr>
            <w:rFonts w:ascii="Times New Roman" w:eastAsia="SimSun" w:hAnsi="Times New Roman" w:cs="Times New Roman"/>
            <w:color w:val="0000FF"/>
            <w:szCs w:val="20"/>
            <w:u w:val="single"/>
          </w:rPr>
          <w:t>http://www.vvkt.lt</w:t>
        </w:r>
      </w:hyperlink>
      <w:r w:rsidRPr="00A10184">
        <w:rPr>
          <w:rFonts w:ascii="Times New Roman" w:eastAsia="Times New Roman" w:hAnsi="Times New Roman" w:cs="Times New Roman"/>
          <w:color w:val="00000A"/>
          <w:szCs w:val="20"/>
        </w:rPr>
        <w:t>). Pranešdami apie šalutinį poveikį galite mums padėti gauti daugiau informacijos apie šio vaisto saugumą.</w:t>
      </w:r>
    </w:p>
    <w:p w:rsidR="00F42AAF" w:rsidRPr="00A10184" w:rsidRDefault="00F42AAF" w:rsidP="00F42AAF">
      <w:pPr>
        <w:tabs>
          <w:tab w:val="left" w:pos="567"/>
        </w:tabs>
        <w:suppressAutoHyphens/>
        <w:spacing w:after="0" w:line="260" w:lineRule="exact"/>
        <w:ind w:right="-449"/>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60" w:lineRule="exact"/>
        <w:ind w:right="-449"/>
        <w:rPr>
          <w:rFonts w:ascii="Times New Roman" w:eastAsia="Times New Roman" w:hAnsi="Times New Roman" w:cs="Times New Roman"/>
          <w:color w:val="00000A"/>
        </w:rPr>
      </w:pPr>
    </w:p>
    <w:p w:rsidR="00F42AAF" w:rsidRPr="00A10184" w:rsidRDefault="00F42AAF" w:rsidP="00F42AAF">
      <w:pPr>
        <w:keepNext/>
        <w:keepLines/>
        <w:tabs>
          <w:tab w:val="left" w:pos="567"/>
        </w:tabs>
        <w:suppressAutoHyphens/>
        <w:spacing w:after="0" w:line="240" w:lineRule="auto"/>
        <w:outlineLvl w:val="2"/>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5.</w:t>
      </w:r>
      <w:r w:rsidRPr="00A10184">
        <w:rPr>
          <w:rFonts w:ascii="Times New Roman" w:eastAsia="Times New Roman" w:hAnsi="Times New Roman" w:cs="Times New Roman"/>
          <w:b/>
          <w:bCs/>
          <w:color w:val="00000A"/>
          <w:lang w:eastAsia="ja-JP"/>
        </w:rPr>
        <w:tab/>
        <w:t>Kaip laikyti Rezol</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Šį vaistą laikykite vaikams nepastebimoje ir nepasiekiamoje vietoje.</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Ant dėžutės ir flakono po „Tinka iki“ nurodytam tinkamumo laikui pasibaigus, šio vaisto vartoti negalima. Vaistas tinkamas vartoti iki paskutinės nurodyto mėnesio dienos.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r w:rsidRPr="00A10184">
        <w:rPr>
          <w:rFonts w:ascii="Times New Roman" w:eastAsia="Times New Roman" w:hAnsi="Times New Roman" w:cs="Times New Roman"/>
          <w:color w:val="00000A"/>
        </w:rPr>
        <w:t>Šio vaisto laikymui specialių temperatūros sąlygų nereikalaujama.</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szCs w:val="20"/>
        </w:rPr>
        <w:t>Flakonus laikyti kartono dėžutėje, kad preparatas b</w:t>
      </w:r>
      <w:r w:rsidRPr="00A10184">
        <w:rPr>
          <w:rFonts w:ascii="TimesNewRoman" w:eastAsia="Times New Roman" w:hAnsi="TimesNewRoman" w:cs="Times New Roman"/>
          <w:color w:val="00000A"/>
          <w:szCs w:val="20"/>
        </w:rPr>
        <w:t>ū</w:t>
      </w:r>
      <w:r w:rsidRPr="00A10184">
        <w:rPr>
          <w:rFonts w:ascii="Times New Roman" w:eastAsia="Times New Roman" w:hAnsi="Times New Roman" w:cs="Times New Roman"/>
          <w:color w:val="00000A"/>
          <w:szCs w:val="20"/>
        </w:rPr>
        <w:t>t</w:t>
      </w:r>
      <w:r w:rsidRPr="00A10184">
        <w:rPr>
          <w:rFonts w:ascii="TimesNewRoman" w:eastAsia="Times New Roman" w:hAnsi="TimesNewRoman" w:cs="Times New Roman"/>
          <w:color w:val="00000A"/>
          <w:szCs w:val="20"/>
        </w:rPr>
        <w:t xml:space="preserve">ų </w:t>
      </w:r>
      <w:r w:rsidRPr="00A10184">
        <w:rPr>
          <w:rFonts w:ascii="Times New Roman" w:eastAsia="Times New Roman" w:hAnsi="Times New Roman" w:cs="Times New Roman"/>
          <w:color w:val="00000A"/>
          <w:szCs w:val="20"/>
        </w:rPr>
        <w:t>apsaugotas nuo šviesos.</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Vaistų negalima išmesti į kanalizaciją arba su buitinėmis atliekomis. Kaip išmesti vaistus, klauskite vaistininko. Šios priemonės padės apsaugoti aplinką.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keepNext/>
        <w:keepLines/>
        <w:tabs>
          <w:tab w:val="left" w:pos="567"/>
        </w:tabs>
        <w:suppressAutoHyphens/>
        <w:spacing w:after="0" w:line="240" w:lineRule="auto"/>
        <w:outlineLvl w:val="2"/>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lastRenderedPageBreak/>
        <w:t>6.</w:t>
      </w:r>
      <w:r w:rsidRPr="00A10184">
        <w:rPr>
          <w:rFonts w:ascii="Times New Roman" w:eastAsia="Times New Roman" w:hAnsi="Times New Roman" w:cs="Times New Roman"/>
          <w:bCs/>
          <w:color w:val="00000A"/>
          <w:lang w:eastAsia="ja-JP"/>
        </w:rPr>
        <w:tab/>
      </w:r>
      <w:r w:rsidRPr="00A10184">
        <w:rPr>
          <w:rFonts w:ascii="Times New Roman" w:eastAsia="Times New Roman" w:hAnsi="Times New Roman" w:cs="Times New Roman"/>
          <w:b/>
          <w:bCs/>
          <w:color w:val="00000A"/>
          <w:lang w:eastAsia="ja-JP"/>
        </w:rPr>
        <w:t>Pakuotės turinys ir kita informacija</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 xml:space="preserve">Rezol sudėtis </w:t>
      </w:r>
    </w:p>
    <w:p w:rsidR="00F42AAF" w:rsidRPr="00A10184" w:rsidRDefault="00F42AAF" w:rsidP="00F42AAF">
      <w:pPr>
        <w:numPr>
          <w:ilvl w:val="0"/>
          <w:numId w:val="2"/>
        </w:numPr>
        <w:tabs>
          <w:tab w:val="left" w:pos="567"/>
        </w:tabs>
        <w:suppressAutoHyphens/>
        <w:spacing w:after="0" w:line="240" w:lineRule="auto"/>
        <w:ind w:left="567" w:right="-2"/>
        <w:rPr>
          <w:rFonts w:ascii="Times New Roman" w:eastAsia="Times New Roman" w:hAnsi="Times New Roman" w:cs="Times New Roman"/>
          <w:color w:val="00000A"/>
        </w:rPr>
      </w:pPr>
      <w:r w:rsidRPr="00A10184">
        <w:rPr>
          <w:rFonts w:ascii="Times New Roman" w:eastAsia="Times New Roman" w:hAnsi="Times New Roman" w:cs="Times New Roman"/>
          <w:color w:val="00000A"/>
          <w:szCs w:val="20"/>
        </w:rPr>
        <w:t xml:space="preserve">Veiklioji medžiaga yra cefazolinas. Viename flakone </w:t>
      </w:r>
      <w:r w:rsidRPr="00A10184">
        <w:rPr>
          <w:rFonts w:ascii="Times New Roman" w:eastAsia="Times New Roman" w:hAnsi="Times New Roman" w:cs="Times New Roman"/>
          <w:color w:val="00000A"/>
        </w:rPr>
        <w:t>yra 1 g cefazolino (cefazolino natrio druskos pavidalu).</w:t>
      </w:r>
    </w:p>
    <w:p w:rsidR="00F42AAF" w:rsidRPr="00A10184" w:rsidRDefault="00F42AAF" w:rsidP="00F42AAF">
      <w:pPr>
        <w:numPr>
          <w:ilvl w:val="0"/>
          <w:numId w:val="2"/>
        </w:numPr>
        <w:tabs>
          <w:tab w:val="left" w:pos="567"/>
        </w:tabs>
        <w:suppressAutoHyphens/>
        <w:spacing w:after="0" w:line="240" w:lineRule="auto"/>
        <w:ind w:left="567"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Pagalbinių medžiagų nėra.</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Rezol išvaizda ir kiekis pakuotėje</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Rezol yra baltos arba beveik baltos spalvos milteliai. Jis tiekiamas bespalvio stiklo flakone, užkimštame pilku butilo gumos kamščiu užspaustu aliuminio gaubteliu.</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Prieš suleidžiant pacientui, Rezol ištirpinamas, į flakoną sušvirkščiant skaidraus injekcinio tirpalo.</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Po to iš flakono ištraukiama reikiama dozė. Ją pacientui galima arba suleisti injekcijos būdu arba sušvirkšti į infuzijos maišelį ir per ploną vamzdelį sulašinti į veną.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 xml:space="preserve">Rezol tiekiamas pakuotėmis po 5 arba 55 flakonus dėžutėje. </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Gali būti tiekiamos ne visų dydžių pakuotės.</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4401B3"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 xml:space="preserve">Registruotojas </w:t>
      </w:r>
      <w:r w:rsidRPr="004401B3">
        <w:rPr>
          <w:rFonts w:ascii="Times New Roman" w:eastAsia="Times New Roman" w:hAnsi="Times New Roman" w:cs="Times New Roman"/>
          <w:b/>
          <w:bCs/>
          <w:color w:val="00000A"/>
          <w:lang w:eastAsia="ja-JP"/>
        </w:rPr>
        <w:t>ir gamintojas</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lang w:val="en-GB"/>
        </w:rPr>
      </w:pPr>
      <w:r w:rsidRPr="00A10184">
        <w:rPr>
          <w:rFonts w:ascii="Times New Roman" w:eastAsia="Times New Roman" w:hAnsi="Times New Roman" w:cs="Times New Roman"/>
          <w:color w:val="00000A"/>
          <w:lang w:val="en-GB"/>
        </w:rPr>
        <w:t>UAB „IBE Pharma"</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lang w:val="en-GB"/>
        </w:rPr>
      </w:pPr>
      <w:r w:rsidRPr="00A10184">
        <w:rPr>
          <w:rFonts w:ascii="Times New Roman" w:eastAsia="Times New Roman" w:hAnsi="Times New Roman" w:cs="Times New Roman"/>
          <w:color w:val="00000A"/>
          <w:lang w:val="en-GB"/>
        </w:rPr>
        <w:t>Sukilėlių pr. 61-2</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lang w:val="en-GB"/>
        </w:rPr>
      </w:pPr>
      <w:r w:rsidRPr="00A10184">
        <w:rPr>
          <w:rFonts w:ascii="Times New Roman" w:eastAsia="Times New Roman" w:hAnsi="Times New Roman" w:cs="Times New Roman"/>
          <w:color w:val="00000A"/>
          <w:lang w:val="en-GB"/>
        </w:rPr>
        <w:t>LT-49333, Kaunas</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lang w:val="en-GB"/>
        </w:rPr>
      </w:pPr>
      <w:r w:rsidRPr="00A10184">
        <w:rPr>
          <w:rFonts w:ascii="Times New Roman" w:eastAsia="Times New Roman" w:hAnsi="Times New Roman" w:cs="Times New Roman"/>
          <w:color w:val="00000A"/>
          <w:lang w:val="en-GB"/>
        </w:rPr>
        <w:t>Lietuva</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lang w:val="en-GB"/>
        </w:rPr>
      </w:pPr>
      <w:r w:rsidRPr="00A10184">
        <w:rPr>
          <w:rFonts w:ascii="Times New Roman" w:eastAsia="Times New Roman" w:hAnsi="Times New Roman" w:cs="Times New Roman"/>
          <w:color w:val="00000A"/>
          <w:lang w:val="en-GB"/>
        </w:rPr>
        <w:t>Tel. +370 37 370054</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lang w:val="en-GB"/>
        </w:rPr>
      </w:pPr>
      <w:r w:rsidRPr="00A10184">
        <w:rPr>
          <w:rFonts w:ascii="Times New Roman" w:eastAsia="Times New Roman" w:hAnsi="Times New Roman" w:cs="Times New Roman"/>
          <w:color w:val="00000A"/>
          <w:lang w:val="en-GB"/>
        </w:rPr>
        <w:t>Faksas +370 37 370067</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lang w:val="en-GB"/>
        </w:rPr>
      </w:pPr>
      <w:r w:rsidRPr="00A10184">
        <w:rPr>
          <w:rFonts w:ascii="Times New Roman" w:eastAsia="Times New Roman" w:hAnsi="Times New Roman" w:cs="Times New Roman"/>
          <w:color w:val="00000A"/>
          <w:lang w:val="en-GB"/>
        </w:rPr>
        <w:t>El. paštas info@ibepharma.lt</w:t>
      </w: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p>
    <w:p w:rsidR="00F42AAF"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b/>
          <w:color w:val="00000A"/>
        </w:rPr>
        <w:t xml:space="preserve">Šis pakuotės lapelis paskutinį kartą peržiūrėtas </w:t>
      </w:r>
      <w:r>
        <w:rPr>
          <w:rFonts w:ascii="Times New Roman" w:eastAsia="Times New Roman" w:hAnsi="Times New Roman" w:cs="Times New Roman"/>
          <w:b/>
          <w:color w:val="00000A"/>
        </w:rPr>
        <w:t>2016-06-07.</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Išsami informacija apie šį vaistą pateikiama Valstybinės vaistų kontrolės tarnybos prie Lietuvos Respublikos sveikatos apsaugos ministerijos tinklalapyje</w:t>
      </w:r>
      <w:r w:rsidRPr="00A10184">
        <w:rPr>
          <w:rFonts w:ascii="Times New Roman" w:eastAsia="Times New Roman" w:hAnsi="Times New Roman" w:cs="Times New Roman"/>
          <w:i/>
          <w:color w:val="00000A"/>
        </w:rPr>
        <w:t xml:space="preserve"> </w:t>
      </w:r>
      <w:hyperlink r:id="rId8">
        <w:r w:rsidRPr="00A10184">
          <w:rPr>
            <w:rFonts w:ascii="Times New Roman" w:eastAsia="SimSun" w:hAnsi="Times New Roman" w:cs="Times New Roman"/>
            <w:color w:val="0000FF"/>
            <w:u w:val="single"/>
          </w:rPr>
          <w:t>http://www.vvkt.lt/</w:t>
        </w:r>
      </w:hyperlink>
      <w:r w:rsidRPr="00A10184">
        <w:rPr>
          <w:rFonts w:ascii="Times New Roman" w:eastAsia="Times New Roman" w:hAnsi="Times New Roman" w:cs="Times New Roman"/>
          <w:color w:val="00000A"/>
        </w:rPr>
        <w:t>.</w:t>
      </w:r>
    </w:p>
    <w:p w:rsidR="00F42AAF" w:rsidRPr="00A10184" w:rsidRDefault="00F42AAF" w:rsidP="00F42AAF">
      <w:pPr>
        <w:tabs>
          <w:tab w:val="left" w:pos="567"/>
        </w:tabs>
        <w:suppressAutoHyphens/>
        <w:spacing w:after="0" w:line="240" w:lineRule="auto"/>
        <w:ind w:right="-2"/>
        <w:rPr>
          <w:rFonts w:ascii="Times New Roman" w:eastAsia="Times New Roman" w:hAnsi="Times New Roman" w:cs="Times New Roman"/>
          <w:color w:val="00000A"/>
        </w:rPr>
      </w:pPr>
      <w:r w:rsidRPr="00A10184">
        <w:rPr>
          <w:rFonts w:ascii="Times New Roman" w:eastAsia="Times New Roman" w:hAnsi="Times New Roman" w:cs="Times New Roman"/>
          <w:color w:val="00000A"/>
        </w:rPr>
        <w:t>---------------------------------------------------------------------------------------------------------------------------</w:t>
      </w:r>
    </w:p>
    <w:p w:rsidR="00F42AAF" w:rsidRPr="00A10184" w:rsidRDefault="00F42AAF" w:rsidP="00F42AAF">
      <w:pPr>
        <w:tabs>
          <w:tab w:val="left" w:pos="567"/>
          <w:tab w:val="left" w:pos="2657"/>
        </w:tabs>
        <w:suppressAutoHyphens/>
        <w:spacing w:after="0" w:line="240" w:lineRule="auto"/>
        <w:ind w:right="-28"/>
        <w:rPr>
          <w:rFonts w:ascii="Times New Roman" w:eastAsia="Times New Roman" w:hAnsi="Times New Roman" w:cs="Times New Roman"/>
          <w:color w:val="00000A"/>
        </w:rPr>
      </w:pP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r w:rsidRPr="00A10184">
        <w:rPr>
          <w:rFonts w:ascii="Times New Roman" w:eastAsia="Times New Roman" w:hAnsi="Times New Roman" w:cs="Times New Roman"/>
          <w:color w:val="00000A"/>
        </w:rPr>
        <w:t>Toliau pateikta informacija skirta tik sveikatos priežiūros specialistams.</w:t>
      </w: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p>
    <w:p w:rsidR="00F42AAF" w:rsidRPr="00A10184" w:rsidRDefault="00F42AAF" w:rsidP="00F42AAF">
      <w:pPr>
        <w:shd w:val="clear" w:color="auto" w:fill="FFFFFF"/>
        <w:tabs>
          <w:tab w:val="left" w:pos="567"/>
        </w:tabs>
        <w:suppressAutoHyphens/>
        <w:spacing w:after="0" w:line="240" w:lineRule="auto"/>
        <w:jc w:val="center"/>
        <w:rPr>
          <w:rFonts w:ascii="Times New Roman" w:eastAsia="Times New Roman" w:hAnsi="Times New Roman" w:cs="Times New Roman"/>
          <w:b/>
          <w:bCs/>
          <w:color w:val="00000A"/>
        </w:rPr>
      </w:pPr>
    </w:p>
    <w:p w:rsidR="00F42AAF" w:rsidRPr="00A10184" w:rsidRDefault="00F42AAF" w:rsidP="00F42AAF">
      <w:pPr>
        <w:tabs>
          <w:tab w:val="left" w:pos="567"/>
        </w:tabs>
        <w:suppressAutoHyphens/>
        <w:spacing w:after="0" w:line="260" w:lineRule="exact"/>
        <w:jc w:val="center"/>
        <w:rPr>
          <w:rFonts w:ascii="Times New Roman" w:eastAsia="Times New Roman" w:hAnsi="Times New Roman" w:cs="Times New Roman"/>
          <w:b/>
          <w:bCs/>
          <w:color w:val="00000A"/>
        </w:rPr>
      </w:pPr>
      <w:r w:rsidRPr="00A10184">
        <w:rPr>
          <w:rFonts w:ascii="Times New Roman" w:eastAsia="Times New Roman" w:hAnsi="Times New Roman" w:cs="Times New Roman"/>
          <w:b/>
          <w:bCs/>
          <w:color w:val="00000A"/>
        </w:rPr>
        <w:t>Rezol 1 g milteliai injekciniam ar infuziniam tirpalui</w:t>
      </w:r>
    </w:p>
    <w:p w:rsidR="00F42AAF" w:rsidRPr="00A10184" w:rsidRDefault="00F42AAF" w:rsidP="00F42AAF">
      <w:pPr>
        <w:tabs>
          <w:tab w:val="left" w:pos="567"/>
        </w:tabs>
        <w:suppressAutoHyphens/>
        <w:spacing w:after="0" w:line="260" w:lineRule="exact"/>
        <w:jc w:val="center"/>
        <w:rPr>
          <w:rFonts w:ascii="Times New Roman" w:eastAsia="Times New Roman" w:hAnsi="Times New Roman" w:cs="Times New Roman"/>
          <w:color w:val="00000A"/>
          <w:szCs w:val="20"/>
        </w:rPr>
      </w:pP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r w:rsidRPr="00A10184">
        <w:rPr>
          <w:rFonts w:ascii="Times New Roman" w:eastAsia="Times New Roman" w:hAnsi="Times New Roman" w:cs="Times New Roman"/>
          <w:color w:val="00000A"/>
        </w:rPr>
        <w:t>Visa su vaistinio preparato skyrimu susijusi informacija pateikiama Preparato charakteristikų santraukoje.</w:t>
      </w: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b/>
          <w:bCs/>
          <w:color w:val="00000A"/>
          <w:u w:val="single"/>
        </w:rPr>
      </w:pPr>
      <w:r w:rsidRPr="00A10184">
        <w:rPr>
          <w:rFonts w:ascii="Times New Roman" w:eastAsia="Times New Roman" w:hAnsi="Times New Roman" w:cs="Times New Roman"/>
          <w:b/>
          <w:bCs/>
          <w:color w:val="00000A"/>
          <w:u w:val="single"/>
        </w:rPr>
        <w:t>Pakuotės</w:t>
      </w: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rPr>
        <w:t>Bespalvio III tipo stiklo flakonas, u</w:t>
      </w:r>
      <w:r w:rsidRPr="00A10184">
        <w:rPr>
          <w:rFonts w:ascii="Times New Roman" w:eastAsia="Times New Roman" w:hAnsi="Times New Roman" w:cs="Times New Roman"/>
          <w:color w:val="00000A"/>
          <w:szCs w:val="20"/>
        </w:rPr>
        <w:t>žkimštas gumos kamš</w:t>
      </w:r>
      <w:r w:rsidRPr="00A10184">
        <w:rPr>
          <w:rFonts w:ascii="TimesNewRoman" w:eastAsia="Times New Roman" w:hAnsi="TimesNewRoman" w:cs="Times New Roman"/>
          <w:color w:val="00000A"/>
          <w:szCs w:val="20"/>
        </w:rPr>
        <w:t>č</w:t>
      </w:r>
      <w:r w:rsidRPr="00A10184">
        <w:rPr>
          <w:rFonts w:ascii="Times New Roman" w:eastAsia="Times New Roman" w:hAnsi="Times New Roman" w:cs="Times New Roman"/>
          <w:color w:val="00000A"/>
          <w:szCs w:val="20"/>
        </w:rPr>
        <w:t>iu ir užspaustas aliuminio gaubteliu.</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szCs w:val="20"/>
        </w:rPr>
        <w:t>Flakonuose yra steril</w:t>
      </w:r>
      <w:r w:rsidRPr="00A10184">
        <w:rPr>
          <w:rFonts w:ascii="TimesNewRoman" w:eastAsia="Times New Roman" w:hAnsi="TimesNewRoman" w:cs="Times New Roman"/>
          <w:color w:val="00000A"/>
          <w:szCs w:val="20"/>
        </w:rPr>
        <w:t>ū</w:t>
      </w:r>
      <w:r w:rsidRPr="00A10184">
        <w:rPr>
          <w:rFonts w:ascii="Times New Roman" w:eastAsia="Times New Roman" w:hAnsi="Times New Roman" w:cs="Times New Roman"/>
          <w:color w:val="00000A"/>
          <w:szCs w:val="20"/>
        </w:rPr>
        <w:t>s, beveik balti arba gelsvi, higroskopiniai, kristaliniai milteliai. Pagalbini</w:t>
      </w:r>
      <w:r w:rsidRPr="00A10184">
        <w:rPr>
          <w:rFonts w:ascii="TimesNewRoman" w:eastAsia="Times New Roman" w:hAnsi="TimesNewRoman" w:cs="Times New Roman"/>
          <w:color w:val="00000A"/>
          <w:szCs w:val="20"/>
        </w:rPr>
        <w:t xml:space="preserve">ų </w:t>
      </w:r>
      <w:r w:rsidRPr="00A10184">
        <w:rPr>
          <w:rFonts w:ascii="Times New Roman" w:eastAsia="Times New Roman" w:hAnsi="Times New Roman" w:cs="Times New Roman"/>
          <w:color w:val="00000A"/>
          <w:szCs w:val="20"/>
        </w:rPr>
        <w:t>medžiag</w:t>
      </w:r>
      <w:r w:rsidRPr="00A10184">
        <w:rPr>
          <w:rFonts w:ascii="TimesNewRoman" w:eastAsia="Times New Roman" w:hAnsi="TimesNewRoman" w:cs="Times New Roman"/>
          <w:color w:val="00000A"/>
          <w:szCs w:val="20"/>
        </w:rPr>
        <w:t xml:space="preserve">ų </w:t>
      </w:r>
      <w:r w:rsidRPr="00A10184">
        <w:rPr>
          <w:rFonts w:ascii="Times New Roman" w:eastAsia="Times New Roman" w:hAnsi="Times New Roman" w:cs="Times New Roman"/>
          <w:color w:val="00000A"/>
          <w:szCs w:val="20"/>
        </w:rPr>
        <w:t>n</w:t>
      </w:r>
      <w:r w:rsidRPr="00A10184">
        <w:rPr>
          <w:rFonts w:ascii="TimesNewRoman" w:eastAsia="Times New Roman" w:hAnsi="TimesNewRoman" w:cs="Times New Roman"/>
          <w:color w:val="00000A"/>
          <w:szCs w:val="20"/>
        </w:rPr>
        <w:t>ė</w:t>
      </w:r>
      <w:r w:rsidRPr="00A10184">
        <w:rPr>
          <w:rFonts w:ascii="Times New Roman" w:eastAsia="Times New Roman" w:hAnsi="Times New Roman" w:cs="Times New Roman"/>
          <w:color w:val="00000A"/>
          <w:szCs w:val="20"/>
        </w:rPr>
        <w:t xml:space="preserve">ra. </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0"/>
          <w:szCs w:val="20"/>
        </w:rPr>
      </w:pPr>
      <w:r w:rsidRPr="00A10184">
        <w:rPr>
          <w:rFonts w:ascii="Times New Roman" w:eastAsia="Times New Roman" w:hAnsi="Times New Roman" w:cs="Times New Roman"/>
          <w:color w:val="000000"/>
          <w:szCs w:val="20"/>
        </w:rPr>
        <w:t>Kiekviename grame Cefazoline BCPP yra maždaug 2,2 mmol (50,6 mg) natrio.</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0"/>
          <w:szCs w:val="20"/>
        </w:rPr>
      </w:pPr>
      <w:r w:rsidRPr="00A10184">
        <w:rPr>
          <w:rFonts w:ascii="Times New Roman" w:eastAsia="Times New Roman" w:hAnsi="Times New Roman" w:cs="Times New Roman"/>
          <w:color w:val="00000A"/>
          <w:szCs w:val="20"/>
        </w:rPr>
        <w:t>Pakuot</w:t>
      </w:r>
      <w:r w:rsidRPr="00A10184">
        <w:rPr>
          <w:rFonts w:ascii="TimesNewRoman" w:eastAsia="Times New Roman" w:hAnsi="TimesNewRoman" w:cs="Times New Roman"/>
          <w:color w:val="00000A"/>
          <w:szCs w:val="20"/>
        </w:rPr>
        <w:t>ė</w:t>
      </w:r>
      <w:r w:rsidRPr="00A10184">
        <w:rPr>
          <w:rFonts w:ascii="Times New Roman" w:eastAsia="Times New Roman" w:hAnsi="Times New Roman" w:cs="Times New Roman"/>
          <w:color w:val="00000A"/>
          <w:szCs w:val="20"/>
        </w:rPr>
        <w:t xml:space="preserve">s dydis: </w:t>
      </w:r>
      <w:r w:rsidRPr="00A10184">
        <w:rPr>
          <w:rFonts w:ascii="Times New Roman" w:eastAsia="Times New Roman" w:hAnsi="Times New Roman" w:cs="Times New Roman"/>
          <w:color w:val="000000"/>
          <w:szCs w:val="20"/>
        </w:rPr>
        <w:t>d</w:t>
      </w:r>
      <w:r w:rsidRPr="00A10184">
        <w:rPr>
          <w:rFonts w:ascii="TimesNewRoman" w:eastAsia="Times New Roman" w:hAnsi="TimesNewRoman" w:cs="Times New Roman"/>
          <w:color w:val="000000"/>
          <w:szCs w:val="20"/>
        </w:rPr>
        <w:t>ė</w:t>
      </w:r>
      <w:r w:rsidRPr="00A10184">
        <w:rPr>
          <w:rFonts w:ascii="Times New Roman" w:eastAsia="Times New Roman" w:hAnsi="Times New Roman" w:cs="Times New Roman"/>
          <w:color w:val="000000"/>
          <w:szCs w:val="20"/>
        </w:rPr>
        <w:t>žut</w:t>
      </w:r>
      <w:r w:rsidRPr="00A10184">
        <w:rPr>
          <w:rFonts w:ascii="TimesNewRoman" w:eastAsia="Times New Roman" w:hAnsi="TimesNewRoman" w:cs="Times New Roman"/>
          <w:color w:val="000000"/>
          <w:szCs w:val="20"/>
        </w:rPr>
        <w:t>ė</w:t>
      </w:r>
      <w:r w:rsidRPr="00A10184">
        <w:rPr>
          <w:rFonts w:ascii="Times New Roman" w:eastAsia="Times New Roman" w:hAnsi="Times New Roman" w:cs="Times New Roman"/>
          <w:color w:val="000000"/>
          <w:szCs w:val="20"/>
        </w:rPr>
        <w:t>je yra 5 arba 55 flakonai.</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lang w:eastAsia="ja-JP"/>
        </w:rPr>
      </w:pPr>
      <w:r w:rsidRPr="00A10184">
        <w:rPr>
          <w:rFonts w:ascii="Times New Roman" w:eastAsia="Times New Roman" w:hAnsi="Times New Roman" w:cs="Times New Roman"/>
          <w:b/>
          <w:bCs/>
          <w:color w:val="00000A"/>
          <w:lang w:eastAsia="ja-JP"/>
        </w:rPr>
        <w:t>Dozavimas ir vartojimo metodas</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u w:val="single"/>
        </w:rPr>
      </w:pPr>
      <w:r w:rsidRPr="00A10184">
        <w:rPr>
          <w:rFonts w:ascii="Times New Roman" w:eastAsia="Times New Roman" w:hAnsi="Times New Roman" w:cs="Times New Roman"/>
          <w:color w:val="00000A"/>
          <w:u w:val="single"/>
        </w:rPr>
        <w:t>Dozavimas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i/>
          <w:iCs/>
          <w:color w:val="000000"/>
        </w:rPr>
      </w:pPr>
      <w:r w:rsidRPr="00A10184">
        <w:rPr>
          <w:rFonts w:ascii="Times New Roman" w:eastAsia="Times New Roman" w:hAnsi="Times New Roman" w:cs="Times New Roman"/>
          <w:b/>
          <w:bCs/>
          <w:i/>
          <w:iCs/>
          <w:color w:val="000000"/>
        </w:rPr>
        <w:t>Suaugusieji, kurių inkstų funkcija normali</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Infekcinės ligos, sukeltos labai jautrių mikroorganizmų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Įprastinė paros dozė suaugusiesiems yra 1</w:t>
      </w:r>
      <w:r w:rsidRPr="00A10184">
        <w:rPr>
          <w:rFonts w:ascii="Times New Roman" w:eastAsia="Times New Roman" w:hAnsi="Times New Roman" w:cs="Times New Roman"/>
          <w:color w:val="000000"/>
        </w:rPr>
        <w:noBreakHyphen/>
        <w:t xml:space="preserve">2 g, ji suvartojama padalyta į dvi arba tris lygias dozes (viena dozė leidžiama kas 8 arba 12 val.).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Infekcinės ligos, sukeltos mažiau jautrių mikroorganizmų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Įprastinė paros dozė yra 3</w:t>
      </w:r>
      <w:r w:rsidRPr="00A10184">
        <w:rPr>
          <w:rFonts w:ascii="Times New Roman" w:eastAsia="Times New Roman" w:hAnsi="Times New Roman" w:cs="Times New Roman"/>
          <w:color w:val="000000"/>
        </w:rPr>
        <w:noBreakHyphen/>
        <w:t xml:space="preserve">4 g, ji suvartojama padalyta į tris arba keturias lygias dozes (viena dozė leidžiama kas 6 arba 8 val.).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Jei pacientas serga sunkia infekcine liga, galima vartoti ne didesnę kaip 6 g paros dozę, kuri suvartojama padalyta į tris arba keturias lygias dozes (viena dozė leidžiama kas 6 arba 8 val.).</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Vartojimas infekcijos profilaktikai operacijos metu</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Siekiant apsaugoti nuo pooperacinės infekcijos, kai operacijos metu pasireiškia arba gali pasireikšti užteršimas, rekomenduojamas toliau pateikiamas dozavimas.</w:t>
      </w:r>
    </w:p>
    <w:p w:rsidR="00F42AAF" w:rsidRPr="00A10184" w:rsidRDefault="00F42AAF" w:rsidP="00F42AAF">
      <w:pPr>
        <w:tabs>
          <w:tab w:val="left" w:pos="567"/>
        </w:tabs>
        <w:suppressAutoHyphens/>
        <w:spacing w:after="2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a. 1</w:t>
      </w:r>
      <w:r w:rsidRPr="00A10184">
        <w:rPr>
          <w:rFonts w:ascii="Times New Roman" w:eastAsia="Times New Roman" w:hAnsi="Times New Roman" w:cs="Times New Roman"/>
          <w:color w:val="000000"/>
        </w:rPr>
        <w:noBreakHyphen/>
        <w:t>2 g dozė suleidžiama į veną iki operacijos pradžios likus 30 min.</w:t>
      </w:r>
      <w:r w:rsidRPr="00A10184">
        <w:rPr>
          <w:rFonts w:ascii="Times New Roman" w:eastAsia="Times New Roman" w:hAnsi="Times New Roman" w:cs="Times New Roman"/>
          <w:color w:val="000000"/>
        </w:rPr>
        <w:noBreakHyphen/>
        <w:t>1 val.</w:t>
      </w:r>
    </w:p>
    <w:p w:rsidR="00F42AAF" w:rsidRPr="00A10184" w:rsidRDefault="00F42AAF" w:rsidP="00F42AAF">
      <w:pPr>
        <w:tabs>
          <w:tab w:val="left" w:pos="567"/>
        </w:tabs>
        <w:suppressAutoHyphens/>
        <w:spacing w:after="2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b. Ilgų chirurginių procedūrų metu 500 mg</w:t>
      </w:r>
      <w:r w:rsidRPr="00A10184">
        <w:rPr>
          <w:rFonts w:ascii="Times New Roman" w:eastAsia="Times New Roman" w:hAnsi="Times New Roman" w:cs="Times New Roman"/>
          <w:color w:val="000000"/>
        </w:rPr>
        <w:noBreakHyphen/>
        <w:t xml:space="preserve">1 g dozė leidžiama į veną operacijos metu (ji leidžiama atsižvelgiant į chirurginės procedūros trukmę).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c. 500 mg</w:t>
      </w:r>
      <w:r w:rsidRPr="00A10184">
        <w:rPr>
          <w:rFonts w:ascii="Times New Roman" w:eastAsia="Times New Roman" w:hAnsi="Times New Roman" w:cs="Times New Roman"/>
          <w:color w:val="000000"/>
        </w:rPr>
        <w:noBreakHyphen/>
        <w:t>1 g dozė leidžiama į veną kas 6</w:t>
      </w:r>
      <w:r w:rsidRPr="00A10184">
        <w:rPr>
          <w:rFonts w:ascii="Times New Roman" w:eastAsia="Times New Roman" w:hAnsi="Times New Roman" w:cs="Times New Roman"/>
          <w:color w:val="000000"/>
        </w:rPr>
        <w:noBreakHyphen/>
        <w:t>8 val. 24 valandų laikotarpiu po operacijos.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Svarbu, kad: (1) ikioperacinė dozė būtų suleista prieš pat operacijos pradžią (iki jos likus 30 min.</w:t>
      </w:r>
      <w:r w:rsidRPr="00A10184">
        <w:rPr>
          <w:rFonts w:ascii="Times New Roman" w:eastAsia="Times New Roman" w:hAnsi="Times New Roman" w:cs="Times New Roman"/>
          <w:color w:val="000000"/>
        </w:rPr>
        <w:noBreakHyphen/>
        <w:t>1 val.), kad pradinio operacinio pjūvio metu serume ir audiniuose būtų pakankamas antibiotiko kiekis, ir (2) jei reikia, cefazolino turi būti leidžiama tinkamais intervalais operacijos metu, kad numatomos didžiausios infekciją sukelti galinčių mikroorganizmų ekspozicijos metu antibiotiko kiekis būtų pakankamas. Kartotines dozes rekomenduojama vartoti kas 4 val. (skaičiuojant nuo ikioperacinės dozės suleidimo). Profilaktinis gydymas cefazolinu paprastai nutraukiamas 24 val. laikotarpiu po chirurginės procedūros. Jei atliekama širdies operacija, profilaktinis gydymas cefazolinu gali būti tęsiamas 48 val. po operacijos pabaigos, tai priklauso nuo klinikinės situacijos.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Suaugusiems pacientams, kurių inkstų funkcija sutrikusi</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333333"/>
        </w:rPr>
      </w:pPr>
      <w:r w:rsidRPr="00A10184">
        <w:rPr>
          <w:rFonts w:ascii="Times New Roman" w:eastAsia="Times New Roman" w:hAnsi="Times New Roman" w:cs="Times New Roman"/>
          <w:color w:val="333333"/>
        </w:rPr>
        <w:t>Reikia suleisti tinkamą pradinę dozę. Vėlesnes dozes reikia koreguoti atsižvelgiant į inkstų funkcijos sutrikimo laipsnį, infekcinės ligos sunkumą ir patogeno jautrumą.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A"/>
        </w:rPr>
      </w:pPr>
      <w:r w:rsidRPr="00A10184">
        <w:rPr>
          <w:rFonts w:ascii="Times New Roman" w:eastAsia="Times New Roman" w:hAnsi="Times New Roman" w:cs="Times New Roman"/>
          <w:b/>
          <w:bCs/>
          <w:color w:val="00000A"/>
        </w:rPr>
        <w:t>Pacientų, kurių inkstų funkcija sutrikusi, palaikomasis gydymas cefazolinu</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A"/>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1988"/>
        <w:gridCol w:w="287"/>
        <w:gridCol w:w="2095"/>
        <w:gridCol w:w="235"/>
        <w:gridCol w:w="2152"/>
        <w:gridCol w:w="235"/>
        <w:gridCol w:w="2035"/>
        <w:gridCol w:w="251"/>
      </w:tblGrid>
      <w:tr w:rsidR="00F42AAF" w:rsidRPr="00A10184" w:rsidTr="00DD0D4A">
        <w:trPr>
          <w:trHeight w:val="236"/>
        </w:trPr>
        <w:tc>
          <w:tcPr>
            <w:tcW w:w="19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 xml:space="preserve">Kreatinino klirensas (ml/min.) </w:t>
            </w:r>
          </w:p>
        </w:tc>
        <w:tc>
          <w:tcPr>
            <w:tcW w:w="287"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 xml:space="preserve">Kreatinino kiekis serume (mg/100 ml)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ind w:right="-112"/>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 xml:space="preserve">Bendra paros dozė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Vartojimo intervalas, pagal kurį reikia dalyti dozę</w:t>
            </w:r>
          </w:p>
        </w:tc>
        <w:tc>
          <w:tcPr>
            <w:tcW w:w="251" w:type="dxa"/>
            <w:tcBorders>
              <w:top w:val="nil"/>
              <w:left w:val="single" w:sz="4" w:space="0" w:color="00000A"/>
              <w:bottom w:val="nil"/>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r>
      <w:tr w:rsidR="00F42AAF" w:rsidRPr="00A10184" w:rsidTr="00DD0D4A">
        <w:trPr>
          <w:trHeight w:val="102"/>
        </w:trPr>
        <w:tc>
          <w:tcPr>
            <w:tcW w:w="19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 5 </w:t>
            </w:r>
          </w:p>
        </w:tc>
        <w:tc>
          <w:tcPr>
            <w:tcW w:w="287"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≤1,5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Įprastinė doze</w:t>
            </w:r>
            <w:r w:rsidRPr="00A10184">
              <w:rPr>
                <w:rFonts w:ascii="Times New Roman" w:eastAsia="Times New Roman" w:hAnsi="Times New Roman" w:cs="Times New Roman"/>
                <w:color w:val="000000"/>
                <w:szCs w:val="20"/>
              </w:rPr>
              <w:t>*</w:t>
            </w:r>
            <w:r w:rsidRPr="00A10184">
              <w:rPr>
                <w:rFonts w:ascii="Times New Roman" w:eastAsia="Times New Roman" w:hAnsi="Times New Roman" w:cs="Times New Roman"/>
                <w:color w:val="000000"/>
              </w:rPr>
              <w:t xml:space="preserve">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Nekeičiamas </w:t>
            </w:r>
          </w:p>
        </w:tc>
        <w:tc>
          <w:tcPr>
            <w:tcW w:w="251" w:type="dxa"/>
            <w:tcBorders>
              <w:top w:val="nil"/>
              <w:left w:val="single" w:sz="4" w:space="0" w:color="00000A"/>
              <w:bottom w:val="nil"/>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r>
      <w:tr w:rsidR="00F42AAF" w:rsidRPr="00A10184" w:rsidTr="00DD0D4A">
        <w:trPr>
          <w:trHeight w:val="102"/>
        </w:trPr>
        <w:tc>
          <w:tcPr>
            <w:tcW w:w="19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35</w:t>
            </w:r>
            <w:r w:rsidRPr="00A10184">
              <w:rPr>
                <w:rFonts w:ascii="Times New Roman" w:eastAsia="Times New Roman" w:hAnsi="Times New Roman" w:cs="Times New Roman"/>
                <w:color w:val="000000"/>
              </w:rPr>
              <w:noBreakHyphen/>
              <w:t xml:space="preserve">54 </w:t>
            </w:r>
          </w:p>
        </w:tc>
        <w:tc>
          <w:tcPr>
            <w:tcW w:w="287"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1,6</w:t>
            </w:r>
            <w:r w:rsidRPr="00A10184">
              <w:rPr>
                <w:rFonts w:ascii="Times New Roman" w:eastAsia="Times New Roman" w:hAnsi="Times New Roman" w:cs="Times New Roman"/>
                <w:color w:val="000000"/>
              </w:rPr>
              <w:noBreakHyphen/>
              <w:t xml:space="preserve">3,0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Įprastinė dozė*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Mažiausiai 8 val.</w:t>
            </w:r>
          </w:p>
        </w:tc>
        <w:tc>
          <w:tcPr>
            <w:tcW w:w="251" w:type="dxa"/>
            <w:tcBorders>
              <w:top w:val="nil"/>
              <w:left w:val="single" w:sz="4" w:space="0" w:color="00000A"/>
              <w:bottom w:val="nil"/>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r>
      <w:tr w:rsidR="00F42AAF" w:rsidRPr="00A10184" w:rsidTr="00DD0D4A">
        <w:trPr>
          <w:trHeight w:val="102"/>
        </w:trPr>
        <w:tc>
          <w:tcPr>
            <w:tcW w:w="19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11</w:t>
            </w:r>
            <w:r w:rsidRPr="00A10184">
              <w:rPr>
                <w:rFonts w:ascii="Times New Roman" w:eastAsia="Times New Roman" w:hAnsi="Times New Roman" w:cs="Times New Roman"/>
                <w:color w:val="000000"/>
              </w:rPr>
              <w:noBreakHyphen/>
              <w:t xml:space="preserve">34 </w:t>
            </w:r>
          </w:p>
        </w:tc>
        <w:tc>
          <w:tcPr>
            <w:tcW w:w="287"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3,1</w:t>
            </w:r>
            <w:r w:rsidRPr="00A10184">
              <w:rPr>
                <w:rFonts w:ascii="Times New Roman" w:eastAsia="Times New Roman" w:hAnsi="Times New Roman" w:cs="Times New Roman"/>
                <w:color w:val="000000"/>
              </w:rPr>
              <w:noBreakHyphen/>
              <w:t xml:space="preserve">4,5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Pusė įprastinės dozės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12 val. </w:t>
            </w:r>
          </w:p>
        </w:tc>
        <w:tc>
          <w:tcPr>
            <w:tcW w:w="251" w:type="dxa"/>
            <w:tcBorders>
              <w:top w:val="nil"/>
              <w:left w:val="single" w:sz="4" w:space="0" w:color="00000A"/>
              <w:bottom w:val="nil"/>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r>
      <w:tr w:rsidR="00F42AAF" w:rsidRPr="00A10184" w:rsidTr="00DD0D4A">
        <w:trPr>
          <w:trHeight w:val="237"/>
        </w:trPr>
        <w:tc>
          <w:tcPr>
            <w:tcW w:w="19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≤10 </w:t>
            </w:r>
          </w:p>
        </w:tc>
        <w:tc>
          <w:tcPr>
            <w:tcW w:w="287"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≥4,6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Ketvirtis įprastinės dozės </w:t>
            </w:r>
          </w:p>
        </w:tc>
        <w:tc>
          <w:tcPr>
            <w:tcW w:w="235" w:type="dxa"/>
            <w:tcBorders>
              <w:top w:val="single" w:sz="4" w:space="0" w:color="00000A"/>
              <w:left w:val="single" w:sz="4" w:space="0" w:color="00000A"/>
              <w:bottom w:val="single" w:sz="4" w:space="0" w:color="00000A"/>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left w:w="10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18-24 val. </w:t>
            </w:r>
          </w:p>
        </w:tc>
        <w:tc>
          <w:tcPr>
            <w:tcW w:w="251" w:type="dxa"/>
            <w:tcBorders>
              <w:top w:val="nil"/>
              <w:left w:val="single" w:sz="4" w:space="0" w:color="00000A"/>
              <w:bottom w:val="nil"/>
              <w:right w:val="nil"/>
            </w:tcBorders>
            <w:shd w:val="clear" w:color="auto" w:fill="FFFFFF"/>
            <w:tcMar>
              <w:left w:w="88"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r>
    </w:tbl>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u w:val="single"/>
        </w:rPr>
      </w:pPr>
      <w:r w:rsidRPr="00A10184">
        <w:rPr>
          <w:rFonts w:ascii="Times New Roman" w:eastAsia="Times New Roman" w:hAnsi="Times New Roman" w:cs="Times New Roman"/>
          <w:color w:val="00000A"/>
          <w:u w:val="single"/>
        </w:rPr>
        <w:t>*Paros dozė suaugusiems pacientams, kurių inkstų funkcija normali</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Jei pacientas gydomas hemodializėmis, dozavimo schema priklauso nuo dializės būklės.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Taip pat žr. 4.4 skyrių.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i/>
          <w:iCs/>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i/>
          <w:iCs/>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i/>
          <w:iCs/>
          <w:color w:val="000000"/>
        </w:rPr>
      </w:pPr>
      <w:r w:rsidRPr="00A10184">
        <w:rPr>
          <w:rFonts w:ascii="Times New Roman" w:eastAsia="Times New Roman" w:hAnsi="Times New Roman" w:cs="Times New Roman"/>
          <w:b/>
          <w:bCs/>
          <w:i/>
          <w:iCs/>
          <w:color w:val="000000"/>
        </w:rPr>
        <w:t>Vaikų populiacija</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Infekcinės ligos, sukeltos labai jautrių mikroorganizmų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Paros dozė yra 25</w:t>
      </w:r>
      <w:r w:rsidRPr="00A10184">
        <w:rPr>
          <w:rFonts w:ascii="Times New Roman" w:eastAsia="Times New Roman" w:hAnsi="Times New Roman" w:cs="Times New Roman"/>
          <w:color w:val="000000"/>
        </w:rPr>
        <w:noBreakHyphen/>
        <w:t xml:space="preserve">50 mg/kg kūno svorio, ją rekomenduojama padalyti į dvi-keturias lygias dozes (vieną dozę vartoti kas 6, 8 ar 12 val.).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Infekcinės ligos, sukeltos mažiau jautrių mikroorganizmų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Paros dozė yra iki 100 mg/kg kūno svorio, ją rekomenduojama padalyti į tris ar keturias lygias dozes (vieną dozę vartoti kas 6 ar 8 val.).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u w:val="single"/>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 xml:space="preserve">Neišnešiotiems naujagimiams ir jaunesniems kaip 1 mėnesio kūdikiams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Neišnešiotų naujagimių ir jaunesnių kaip vieno mėnesio kūdikių gydymo saugumas neištirtas, todėl cefazolinu tokių pacientų gydyti nerekomenduojama. Taip pat žr. 4.4 skyrių.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Dozavimo vaikams gairės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color w:val="333333"/>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939"/>
        <w:gridCol w:w="1149"/>
        <w:gridCol w:w="1149"/>
        <w:gridCol w:w="1152"/>
        <w:gridCol w:w="1149"/>
        <w:gridCol w:w="1159"/>
      </w:tblGrid>
      <w:tr w:rsidR="00F42AAF" w:rsidRPr="00A10184" w:rsidTr="00DD0D4A">
        <w:trPr>
          <w:trHeight w:val="102"/>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 xml:space="preserve">Kūno svoris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5 kg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10 kg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15 kg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20 kg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25 kg </w:t>
            </w:r>
          </w:p>
        </w:tc>
      </w:tr>
      <w:tr w:rsidR="00F42AAF" w:rsidRPr="00A10184" w:rsidTr="00DD0D4A">
        <w:trPr>
          <w:trHeight w:val="364"/>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 xml:space="preserve">Dozė vartojama kas 12 val., paros dozė 25 mg/kg kūno svorio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63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125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188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250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313 mg </w:t>
            </w:r>
          </w:p>
        </w:tc>
      </w:tr>
      <w:tr w:rsidR="00F42AAF" w:rsidRPr="00A10184" w:rsidTr="00DD0D4A">
        <w:trPr>
          <w:trHeight w:val="365"/>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Dozė vartojama kas 8 val., paros dozė 25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42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85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125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167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208 mg </w:t>
            </w:r>
          </w:p>
        </w:tc>
      </w:tr>
      <w:tr w:rsidR="00F42AAF" w:rsidRPr="00A10184" w:rsidTr="00DD0D4A">
        <w:trPr>
          <w:trHeight w:val="357"/>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Dozė vartojama kas 6 val., paros dozė 25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31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62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94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125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156 mg </w:t>
            </w:r>
          </w:p>
        </w:tc>
      </w:tr>
      <w:tr w:rsidR="00F42AAF" w:rsidRPr="00A10184" w:rsidTr="00DD0D4A">
        <w:trPr>
          <w:trHeight w:val="365"/>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Dozė vartojama kas 12 val., paros dozė 50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125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250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375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500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625 mg </w:t>
            </w:r>
          </w:p>
        </w:tc>
      </w:tr>
      <w:tr w:rsidR="00F42AAF" w:rsidRPr="00A10184" w:rsidTr="00DD0D4A">
        <w:trPr>
          <w:trHeight w:val="364"/>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Dozė vartojama kas 8 val., paros dozė 50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83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166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250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333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417 mg </w:t>
            </w:r>
          </w:p>
        </w:tc>
      </w:tr>
      <w:tr w:rsidR="00F42AAF" w:rsidRPr="00A10184" w:rsidTr="00DD0D4A">
        <w:trPr>
          <w:trHeight w:val="357"/>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Dozė vartojama kas 6 val., paros dozė 50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63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125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188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250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313 mg </w:t>
            </w:r>
          </w:p>
        </w:tc>
      </w:tr>
      <w:tr w:rsidR="00F42AAF" w:rsidRPr="00A10184" w:rsidTr="00DD0D4A">
        <w:trPr>
          <w:trHeight w:val="364"/>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Dozė vartojama kas 8 val., paros dozė 100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167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333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500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667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833 mg </w:t>
            </w:r>
          </w:p>
        </w:tc>
      </w:tr>
      <w:tr w:rsidR="00F42AAF" w:rsidRPr="00A10184" w:rsidTr="00DD0D4A">
        <w:trPr>
          <w:trHeight w:val="365"/>
        </w:trPr>
        <w:tc>
          <w:tcPr>
            <w:tcW w:w="29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Dozė vartojama kas 6 val., paros dozė 100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125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250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375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500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625 mg </w:t>
            </w:r>
          </w:p>
        </w:tc>
      </w:tr>
    </w:tbl>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333333"/>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u w:val="single"/>
        </w:rPr>
      </w:pPr>
      <w:r w:rsidRPr="00A10184">
        <w:rPr>
          <w:rFonts w:ascii="Times New Roman" w:eastAsia="Times New Roman" w:hAnsi="Times New Roman" w:cs="Times New Roman"/>
          <w:b/>
          <w:bCs/>
          <w:color w:val="000000"/>
          <w:u w:val="single"/>
        </w:rPr>
        <w:t>Vaikai, kurių inkstų funkcija sutrikusi</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333333"/>
        </w:rPr>
      </w:pPr>
      <w:r w:rsidRPr="00A10184">
        <w:rPr>
          <w:rFonts w:ascii="Times New Roman" w:eastAsia="Times New Roman" w:hAnsi="Times New Roman" w:cs="Times New Roman"/>
          <w:color w:val="333333"/>
        </w:rPr>
        <w:t>Reikia suleisti tinkamą pradinę dozę. Vėlesnes dozes reikia koreguoti atsižvelgiant į inkstų funkcijos sutrikimo laipsnį, infekcinės ligos sunkumą ir patogeno jautrumą.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Jei vaikui yra lengvas inkstų funkcijos sutrikimas (kreatinino klirensas 70-40 ml/min.), pakanka vartoti 60 % įprastos paros dozės, kuri padalijama į lygias dalis ir vartojama kas 12 val.</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Jei vaikui yra vidutinio sunkumo inkstų funkcijos sutrikimas (kreatinino klirensas 40-20 ml/min.), pakanka vartoti 25 % įprastos paros dozės, kuri padalijama į lygias dalis ir vartojama kas 12 val.</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Jei vaikui yra sunkus inkstų funkcijos sutrikimas (kreatinino klirensas 20-5 ml/min.), pakanka vartoti 10 % įprastos paros dozės, kuri vartojama kas 24 val.</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Visos šios gairės taikomos po to, kai pavartojama pradinė dozė. Taip pat žr. 4.4 skyrių.</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i/>
          <w:iCs/>
          <w:color w:val="000000"/>
        </w:rPr>
      </w:pPr>
      <w:r w:rsidRPr="00A10184">
        <w:rPr>
          <w:rFonts w:ascii="Times New Roman" w:eastAsia="Times New Roman" w:hAnsi="Times New Roman" w:cs="Times New Roman"/>
          <w:b/>
          <w:bCs/>
          <w:i/>
          <w:iCs/>
          <w:color w:val="000000"/>
        </w:rPr>
        <w:t>Senyviems pacientams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Jei inkstų funkcija normali, senyviems pacientams dozės koreguoti nereikia.</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color w:val="000000"/>
        </w:rPr>
      </w:pPr>
      <w:r w:rsidRPr="00A10184">
        <w:rPr>
          <w:rFonts w:ascii="Times New Roman" w:eastAsia="Times New Roman" w:hAnsi="Times New Roman" w:cs="Times New Roman"/>
          <w:b/>
          <w:bCs/>
          <w:color w:val="000000"/>
        </w:rPr>
        <w:t>Gydymo trukmė</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Gydymo trukmė priklauso nuo ligos eigos. Atsižvelgiant į bendruosius gydymo antibiotikais principus, gydymą cefazolinu reikia tęsti dar mažiausiai 2</w:t>
      </w:r>
      <w:r w:rsidRPr="00A10184">
        <w:rPr>
          <w:rFonts w:ascii="Times New Roman" w:eastAsia="Times New Roman" w:hAnsi="Times New Roman" w:cs="Times New Roman"/>
          <w:color w:val="000000"/>
        </w:rPr>
        <w:noBreakHyphen/>
        <w:t>3 dienas po to, kai išnyksta karščiavimas, arba kol nustatoma, kad infekcija išnyko.</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u w:val="single"/>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u w:val="single"/>
        </w:rPr>
      </w:pPr>
      <w:r w:rsidRPr="00A10184">
        <w:rPr>
          <w:rFonts w:ascii="Times New Roman" w:eastAsia="Times New Roman" w:hAnsi="Times New Roman" w:cs="Times New Roman"/>
          <w:color w:val="00000A"/>
          <w:u w:val="single"/>
        </w:rPr>
        <w:t>Vartojimo metodas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szCs w:val="20"/>
        </w:rPr>
        <w:t xml:space="preserve">Rezol 1 g miltelių injekciniam </w:t>
      </w:r>
      <w:r w:rsidRPr="00A10184">
        <w:rPr>
          <w:rFonts w:ascii="Times New Roman" w:eastAsia="Times New Roman" w:hAnsi="Times New Roman" w:cs="Times New Roman"/>
          <w:color w:val="00000A"/>
        </w:rPr>
        <w:t>ar infuziniam tirpalui galima leisti giliai į raumenis, lėtai į veną arba lėtai infuzuoti į veną.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b/>
          <w:bCs/>
          <w:color w:val="00000A"/>
          <w:u w:val="single"/>
        </w:rPr>
      </w:pPr>
      <w:r w:rsidRPr="00A10184">
        <w:rPr>
          <w:rFonts w:ascii="Times New Roman" w:eastAsia="Times New Roman" w:hAnsi="Times New Roman" w:cs="Times New Roman"/>
          <w:b/>
          <w:bCs/>
          <w:color w:val="00000A"/>
          <w:u w:val="single"/>
        </w:rPr>
        <w:t>Vartojimo instrukcija</w:t>
      </w: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i/>
          <w:iCs/>
          <w:color w:val="000000"/>
        </w:rPr>
      </w:pPr>
      <w:r w:rsidRPr="00A10184">
        <w:rPr>
          <w:rFonts w:ascii="Times New Roman" w:eastAsia="Times New Roman" w:hAnsi="Times New Roman" w:cs="Times New Roman"/>
          <w:bCs/>
          <w:i/>
          <w:iCs/>
          <w:color w:val="000000"/>
        </w:rPr>
        <w:t>Injekcinio ir infuzinio tirpalo paruošimas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
          <w:bCs/>
          <w:i/>
          <w:iCs/>
          <w:color w:val="000000"/>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333333"/>
        </w:rPr>
      </w:pPr>
      <w:r w:rsidRPr="00A10184">
        <w:rPr>
          <w:rFonts w:ascii="Times New Roman" w:eastAsia="Times New Roman" w:hAnsi="Times New Roman" w:cs="Times New Roman"/>
          <w:color w:val="333333"/>
        </w:rPr>
        <w:t>Rezol yra sterilūs injekciniai milteliai, todėl prieš švirkštimą pacientui juos reikia ištirpinti. Tirpinimui naudojamo tirpiklio tūris priklauso nuo vartojimo metodo.</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Rekomenduojama vartoti ką tik paruoštą tirpalą. Paruošto vaistinio preparato poveikio stiprumas išlieka mažiausiai 12 val., laikant 25°C temperatūroje arba 24 val. laikant šaldytuve (2°</w:t>
      </w:r>
      <w:r w:rsidRPr="00A10184">
        <w:rPr>
          <w:rFonts w:ascii="Times New Roman" w:eastAsia="Times New Roman" w:hAnsi="Times New Roman" w:cs="Times New Roman"/>
          <w:color w:val="000000"/>
        </w:rPr>
        <w:noBreakHyphen/>
        <w:t xml:space="preserve">8°C temperatūroje).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Ištirpinus injekciniame vandenyje, gautas tirpalas yra skaidrus, šviesiai geltonas arba geltonas.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color w:val="000000"/>
          <w:u w:val="single"/>
        </w:rPr>
      </w:pPr>
      <w:r w:rsidRPr="00A10184">
        <w:rPr>
          <w:rFonts w:ascii="Times New Roman" w:eastAsia="Times New Roman" w:hAnsi="Times New Roman" w:cs="Times New Roman"/>
          <w:bCs/>
          <w:color w:val="000000"/>
          <w:u w:val="single"/>
        </w:rPr>
        <w:t>Injekcija į raumenis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color w:val="000000"/>
          <w:u w:val="single"/>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Rezol 1 g ištirpinamas 4 ml injekcinio vandens arba 0,9 % natrio chlorido tirpalo.</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Kratyti, kol milteliai visiškai ištirps.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 w:val="24"/>
          <w:szCs w:val="24"/>
        </w:rPr>
      </w:pPr>
      <w:r w:rsidRPr="00A10184">
        <w:rPr>
          <w:rFonts w:ascii="Times New Roman" w:eastAsia="Times New Roman" w:hAnsi="Times New Roman" w:cs="Times New Roman"/>
          <w:color w:val="00000A"/>
        </w:rPr>
        <w:t>Cefazolino koncentracija tirpale maždaug 250 mg/ml.</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 w:val="24"/>
          <w:szCs w:val="24"/>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color w:val="000000"/>
          <w:u w:val="single"/>
        </w:rPr>
      </w:pPr>
      <w:r w:rsidRPr="00A10184">
        <w:rPr>
          <w:rFonts w:ascii="Times New Roman" w:eastAsia="Times New Roman" w:hAnsi="Times New Roman" w:cs="Times New Roman"/>
          <w:bCs/>
          <w:color w:val="000000"/>
          <w:u w:val="single"/>
        </w:rPr>
        <w:t>Injekcija į veną</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bCs/>
          <w:color w:val="000000"/>
          <w:u w:val="single"/>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Rezol 1 g ištirpinamas 4 ml injekcinio vandens arba 0,9 % natrio chlorido tirpalo. </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Kratyti, kol milteliai visiškai ištirps.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Cefazolino koncentracija tirpale maždaug 250 mg/ml.</w:t>
      </w:r>
    </w:p>
    <w:tbl>
      <w:tblPr>
        <w:tblW w:w="0" w:type="auto"/>
        <w:tblInd w:w="10" w:type="dxa"/>
        <w:tblBorders>
          <w:top w:val="nil"/>
          <w:left w:val="nil"/>
          <w:bottom w:val="nil"/>
          <w:right w:val="nil"/>
          <w:insideH w:val="nil"/>
          <w:insideV w:val="nil"/>
        </w:tblBorders>
        <w:tblLook w:val="04A0"/>
      </w:tblPr>
      <w:tblGrid>
        <w:gridCol w:w="9273"/>
        <w:gridCol w:w="284"/>
        <w:gridCol w:w="287"/>
      </w:tblGrid>
      <w:tr w:rsidR="00F42AAF" w:rsidRPr="00A10184" w:rsidTr="00DD0D4A">
        <w:trPr>
          <w:trHeight w:val="102"/>
        </w:trPr>
        <w:tc>
          <w:tcPr>
            <w:tcW w:w="9299" w:type="dxa"/>
            <w:tcBorders>
              <w:top w:val="nil"/>
              <w:left w:val="nil"/>
              <w:bottom w:val="nil"/>
              <w:right w:val="nil"/>
            </w:tcBorders>
            <w:shd w:val="clear" w:color="auto" w:fill="FFFFFF"/>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Rezol 1 g lėtai suleidžiamas per tris-penkias minutes. Jokiu būdu vaistinio preparato negalima suleisti greičiau kaip per 3 minutes. Injekciją galima atlikti tiesiai į veną arba per intraveninės jungties vamzdelį.</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A"/>
                <w:szCs w:val="2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bCs/>
                <w:color w:val="000000"/>
                <w:u w:val="single"/>
              </w:rPr>
            </w:pPr>
            <w:r w:rsidRPr="00A10184">
              <w:rPr>
                <w:rFonts w:ascii="Times New Roman" w:eastAsia="Times New Roman" w:hAnsi="Times New Roman" w:cs="Times New Roman"/>
                <w:bCs/>
                <w:color w:val="000000"/>
                <w:u w:val="single"/>
              </w:rPr>
              <w:t>Infuzija į veną</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bCs/>
                <w:color w:val="000000"/>
                <w:u w:val="single"/>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Cefazoliną galima vartoti tiesiai į veną arba nuolatinės, arba protarpinės infuzijos metodu.</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Rezol galima infuzuoti kartu su intraveniniais preparatais, naudojant prijungtą infuzinę talpyklę.</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Rezol 1 g pirmiausia ištirpinamas 4 ml injekcinio vandens arba 0,9 % natrio chlorido tirpalo. Kratyti, kol milteliai visiškai ištirps.</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Toliau preparatas skiedžiamas 50-100 ml 0,9 % natrio chlorido, 5% arba 10% gliukozės, Ringerio-laktato infuziniu tirpalu arba injekciniu vandeniu. </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Cefazolino koncentracija infuziniame tirpale bus 10-19 mg/ml.</w:t>
            </w:r>
          </w:p>
          <w:p w:rsidR="00F42AAF" w:rsidRPr="00A10184" w:rsidRDefault="00F42AAF" w:rsidP="00DD0D4A">
            <w:pPr>
              <w:tabs>
                <w:tab w:val="left" w:pos="567"/>
              </w:tabs>
              <w:suppressAutoHyphens/>
              <w:spacing w:after="0" w:line="260" w:lineRule="exact"/>
              <w:rPr>
                <w:rFonts w:ascii="Times New Roman" w:eastAsia="Times New Roman" w:hAnsi="Times New Roman" w:cs="Times New Roman"/>
                <w:color w:val="000000"/>
              </w:rPr>
            </w:pPr>
            <w:r w:rsidRPr="00A10184">
              <w:rPr>
                <w:rFonts w:ascii="Times New Roman" w:eastAsia="Times New Roman" w:hAnsi="Times New Roman" w:cs="Times New Roman"/>
                <w:color w:val="000000"/>
              </w:rPr>
              <w:t>Ruošdami infuzinį tirpalą, naudokite ką tik iš miltelių paruoštą tirpalą.</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 xml:space="preserve">Tik vienkartiniam vartojimui. Visus tirpalo likučius sunaikinti. </w:t>
            </w:r>
          </w:p>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p w:rsidR="00F42AAF" w:rsidRPr="00A10184" w:rsidRDefault="00F42AAF" w:rsidP="00DD0D4A">
            <w:pPr>
              <w:tabs>
                <w:tab w:val="left" w:pos="567"/>
              </w:tabs>
              <w:suppressAutoHyphens/>
              <w:spacing w:after="0" w:line="240" w:lineRule="auto"/>
              <w:ind w:right="175"/>
              <w:rPr>
                <w:rFonts w:ascii="Times New Roman" w:eastAsia="Times New Roman" w:hAnsi="Times New Roman" w:cs="Times New Roman"/>
                <w:color w:val="000000"/>
              </w:rPr>
            </w:pPr>
            <w:r w:rsidRPr="00A10184">
              <w:rPr>
                <w:rFonts w:ascii="Times New Roman" w:eastAsia="Times New Roman" w:hAnsi="Times New Roman" w:cs="Times New Roman"/>
                <w:color w:val="000000"/>
              </w:rPr>
              <w:t>Nesuvartotą vaistinį preparatą ar atliekas reikia tvarkyti laikantis vietinių reikalavimų.</w:t>
            </w:r>
          </w:p>
        </w:tc>
        <w:tc>
          <w:tcPr>
            <w:tcW w:w="284" w:type="dxa"/>
            <w:tcBorders>
              <w:top w:val="nil"/>
              <w:left w:val="nil"/>
              <w:bottom w:val="nil"/>
              <w:right w:val="nil"/>
            </w:tcBorders>
            <w:shd w:val="clear" w:color="auto" w:fill="FFFFFF"/>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c>
          <w:tcPr>
            <w:tcW w:w="287" w:type="dxa"/>
            <w:tcBorders>
              <w:top w:val="nil"/>
              <w:left w:val="nil"/>
              <w:bottom w:val="nil"/>
              <w:right w:val="nil"/>
            </w:tcBorders>
            <w:shd w:val="clear" w:color="auto" w:fill="FFFFFF"/>
          </w:tcPr>
          <w:p w:rsidR="00F42AAF" w:rsidRPr="00A10184" w:rsidRDefault="00F42AAF" w:rsidP="00DD0D4A">
            <w:pPr>
              <w:tabs>
                <w:tab w:val="left" w:pos="567"/>
              </w:tabs>
              <w:suppressAutoHyphens/>
              <w:spacing w:after="0" w:line="240" w:lineRule="auto"/>
              <w:rPr>
                <w:rFonts w:ascii="Times New Roman" w:eastAsia="Times New Roman" w:hAnsi="Times New Roman" w:cs="Times New Roman"/>
                <w:color w:val="000000"/>
              </w:rPr>
            </w:pPr>
          </w:p>
        </w:tc>
      </w:tr>
    </w:tbl>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 w:val="left" w:pos="2657"/>
        </w:tabs>
        <w:suppressAutoHyphens/>
        <w:spacing w:after="0" w:line="240" w:lineRule="auto"/>
        <w:ind w:left="-37" w:right="-28"/>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u w:val="single"/>
          <w:lang w:eastAsia="ja-JP"/>
        </w:rPr>
      </w:pPr>
      <w:r w:rsidRPr="00A10184">
        <w:rPr>
          <w:rFonts w:ascii="Times New Roman" w:eastAsia="Times New Roman" w:hAnsi="Times New Roman" w:cs="Times New Roman"/>
          <w:b/>
          <w:bCs/>
          <w:color w:val="00000A"/>
          <w:u w:val="single"/>
          <w:lang w:eastAsia="ja-JP"/>
        </w:rPr>
        <w:t>Nesuderinamumas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Šio vaistinio preparato negalima maišyti su kitais, išskyrus nurodytus vartojimo instrukcijoje.</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r w:rsidRPr="00A10184">
        <w:rPr>
          <w:rFonts w:ascii="Times New Roman" w:eastAsia="Times New Roman" w:hAnsi="Times New Roman" w:cs="Times New Roman"/>
          <w:color w:val="00000A"/>
        </w:rPr>
        <w:t>Tirpalų, kuriuose yra cefazolino, negalima maišyti su krauju ar kitų baltymų hidrolizatais. Cefazolinas yra nesuderinamas su aminoglikozidais, tetraciklinais, eritromicinu, askorbo rūgštimi, vitamino B kompleksu, bleomicino sulfatu, gliuceptato kalcio gliukonatu, kalciu ir cimetidino hidrochloridu.</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u w:val="single"/>
          <w:lang w:eastAsia="ja-JP"/>
        </w:rPr>
      </w:pPr>
      <w:r w:rsidRPr="00A10184">
        <w:rPr>
          <w:rFonts w:ascii="Times New Roman" w:eastAsia="Times New Roman" w:hAnsi="Times New Roman" w:cs="Times New Roman"/>
          <w:b/>
          <w:bCs/>
          <w:color w:val="00000A"/>
          <w:u w:val="single"/>
          <w:lang w:eastAsia="ja-JP"/>
        </w:rPr>
        <w:t>Tinkamumo laikas</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i/>
          <w:color w:val="00000A"/>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i/>
          <w:color w:val="00000A"/>
        </w:rPr>
      </w:pPr>
      <w:r w:rsidRPr="00A10184">
        <w:rPr>
          <w:rFonts w:ascii="Times New Roman" w:eastAsia="Times New Roman" w:hAnsi="Times New Roman" w:cs="Times New Roman"/>
          <w:i/>
          <w:color w:val="00000A"/>
        </w:rPr>
        <w:t>Neatidaryta pakuotė</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r w:rsidRPr="00A10184">
        <w:rPr>
          <w:rFonts w:ascii="Times New Roman" w:eastAsia="Times New Roman" w:hAnsi="Times New Roman" w:cs="Times New Roman"/>
          <w:color w:val="00000A"/>
        </w:rPr>
        <w:t>3 metai</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i/>
          <w:color w:val="00000A"/>
        </w:rPr>
      </w:pPr>
      <w:r w:rsidRPr="00A10184">
        <w:rPr>
          <w:rFonts w:ascii="Times New Roman" w:eastAsia="Times New Roman" w:hAnsi="Times New Roman" w:cs="Times New Roman"/>
          <w:i/>
          <w:color w:val="00000A"/>
        </w:rPr>
        <w:t>Po ištirpinimo ir (ar) praskiedimo:</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i/>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0"/>
        </w:rPr>
      </w:pPr>
      <w:r w:rsidRPr="00A10184">
        <w:rPr>
          <w:rFonts w:ascii="Times New Roman" w:eastAsia="Times New Roman" w:hAnsi="Times New Roman" w:cs="Times New Roman"/>
          <w:color w:val="000000"/>
        </w:rPr>
        <w:t>Cheminiu ir fizikiniu požiūriu paruoštas tirpalas išlieka stabilus ne ilgiau kaip 12 val. 25 °C temperatūroje ir ne ilgiau kaip 24 val. šaldytuve (2 °C </w:t>
      </w:r>
      <w:r w:rsidRPr="00A10184">
        <w:rPr>
          <w:rFonts w:ascii="Times New Roman" w:eastAsia="Times New Roman" w:hAnsi="Times New Roman" w:cs="Times New Roman"/>
          <w:color w:val="000000"/>
        </w:rPr>
        <w:noBreakHyphen/>
        <w:t xml:space="preserve"> 8 °C temperatūroje). </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r w:rsidRPr="00A10184">
        <w:rPr>
          <w:rFonts w:ascii="Times New Roman" w:eastAsia="Times New Roman" w:hAnsi="Times New Roman" w:cs="Times New Roman"/>
          <w:color w:val="00000A"/>
        </w:rPr>
        <w:t>Mikrobiologiniu požiūriu atidarius/ištirpinus/praskiedus vaistinį preparatą reikia vartoti nedelsiant,. Jei vaistinis preparatas nevartojamas nedelsiant, už laikymo sąlygas ir trukmę atsako vartotojas. Paprastai ilgiau, nei nurodyta aukščiau paminėtoje informacijoje apie cheminį ir fizikinį stabilumą laikyti negalima, nebent tirpinimas ir praskiedimas buvo atliktas kontroliuojamomis ir patvirtintomis aseptinėmis sąlygomis.</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rPr>
      </w:pPr>
    </w:p>
    <w:p w:rsidR="00F42AAF" w:rsidRPr="00A10184" w:rsidRDefault="00F42AAF" w:rsidP="00F42AAF">
      <w:pPr>
        <w:keepNext/>
        <w:tabs>
          <w:tab w:val="left" w:pos="567"/>
        </w:tabs>
        <w:suppressAutoHyphens/>
        <w:spacing w:after="0" w:line="260" w:lineRule="exact"/>
        <w:jc w:val="both"/>
        <w:outlineLvl w:val="3"/>
        <w:rPr>
          <w:rFonts w:ascii="Times New Roman" w:eastAsia="Times New Roman" w:hAnsi="Times New Roman" w:cs="Times New Roman"/>
          <w:b/>
          <w:bCs/>
          <w:color w:val="00000A"/>
          <w:shd w:val="clear" w:color="auto" w:fill="FFFFFF"/>
          <w:lang w:eastAsia="ja-JP"/>
        </w:rPr>
      </w:pPr>
      <w:r w:rsidRPr="00A10184">
        <w:rPr>
          <w:rFonts w:ascii="Times New Roman" w:eastAsia="Times New Roman" w:hAnsi="Times New Roman" w:cs="Times New Roman"/>
          <w:b/>
          <w:bCs/>
          <w:color w:val="00000A"/>
          <w:shd w:val="clear" w:color="auto" w:fill="FFFFFF"/>
          <w:lang w:eastAsia="ja-JP"/>
        </w:rPr>
        <w:t>Specialios laikymo sąlygos</w:t>
      </w: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rPr>
      </w:pPr>
    </w:p>
    <w:p w:rsidR="00F42AAF" w:rsidRPr="00A10184" w:rsidRDefault="00F42AAF" w:rsidP="00F42AAF">
      <w:pPr>
        <w:tabs>
          <w:tab w:val="left" w:pos="567"/>
        </w:tabs>
        <w:suppressAutoHyphens/>
        <w:spacing w:after="0" w:line="240" w:lineRule="auto"/>
        <w:rPr>
          <w:rFonts w:ascii="Times New Roman" w:eastAsia="Times New Roman" w:hAnsi="Times New Roman" w:cs="Times New Roman"/>
          <w:color w:val="00000A"/>
          <w:szCs w:val="20"/>
        </w:rPr>
      </w:pPr>
      <w:r w:rsidRPr="00A10184">
        <w:rPr>
          <w:rFonts w:ascii="Times New Roman" w:eastAsia="Times New Roman" w:hAnsi="Times New Roman" w:cs="Times New Roman"/>
          <w:color w:val="0D0D0D"/>
        </w:rPr>
        <w:t>Šio vaistinio preparato laikymui specialių temperatūros sąlygų nereikalaujama.</w:t>
      </w:r>
    </w:p>
    <w:p w:rsidR="00F42AAF" w:rsidRPr="00A10184" w:rsidRDefault="00F42AAF" w:rsidP="00F42AAF">
      <w:pPr>
        <w:tabs>
          <w:tab w:val="left" w:pos="567"/>
        </w:tabs>
        <w:suppressAutoHyphens/>
        <w:spacing w:after="0" w:line="260" w:lineRule="exact"/>
        <w:rPr>
          <w:rFonts w:ascii="Times New Roman" w:eastAsia="Times New Roman" w:hAnsi="Times New Roman" w:cs="Times New Roman"/>
          <w:color w:val="00000A"/>
          <w:szCs w:val="20"/>
        </w:rPr>
      </w:pPr>
      <w:r w:rsidRPr="00A10184">
        <w:rPr>
          <w:rFonts w:ascii="Times New Roman" w:eastAsia="Times New Roman" w:hAnsi="Times New Roman" w:cs="Times New Roman"/>
          <w:color w:val="00000A"/>
          <w:szCs w:val="20"/>
        </w:rPr>
        <w:t>Flakonus laikyti kartono dėžutėje, kad preparatas b</w:t>
      </w:r>
      <w:r w:rsidRPr="00A10184">
        <w:rPr>
          <w:rFonts w:ascii="TimesNewRoman" w:eastAsia="Times New Roman" w:hAnsi="TimesNewRoman" w:cs="Times New Roman"/>
          <w:color w:val="00000A"/>
          <w:szCs w:val="20"/>
        </w:rPr>
        <w:t>ū</w:t>
      </w:r>
      <w:r w:rsidRPr="00A10184">
        <w:rPr>
          <w:rFonts w:ascii="Times New Roman" w:eastAsia="Times New Roman" w:hAnsi="Times New Roman" w:cs="Times New Roman"/>
          <w:color w:val="00000A"/>
          <w:szCs w:val="20"/>
        </w:rPr>
        <w:t>t</w:t>
      </w:r>
      <w:r w:rsidRPr="00A10184">
        <w:rPr>
          <w:rFonts w:ascii="TimesNewRoman" w:eastAsia="Times New Roman" w:hAnsi="TimesNewRoman" w:cs="Times New Roman"/>
          <w:color w:val="00000A"/>
          <w:szCs w:val="20"/>
        </w:rPr>
        <w:t xml:space="preserve">ų </w:t>
      </w:r>
      <w:r w:rsidRPr="00A10184">
        <w:rPr>
          <w:rFonts w:ascii="Times New Roman" w:eastAsia="Times New Roman" w:hAnsi="Times New Roman" w:cs="Times New Roman"/>
          <w:color w:val="00000A"/>
          <w:szCs w:val="20"/>
        </w:rPr>
        <w:t>apsaugotas nuo šviesos.</w:t>
      </w:r>
    </w:p>
    <w:p w:rsidR="0033556D" w:rsidRDefault="0033556D"/>
    <w:sectPr w:rsidR="0033556D" w:rsidSect="0033556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1">
    <w:altName w:val="Arial Unicode MS"/>
    <w:panose1 w:val="00000000000000000000"/>
    <w:charset w:val="80"/>
    <w:family w:val="swiss"/>
    <w:notTrueType/>
    <w:pitch w:val="default"/>
    <w:sig w:usb0="00000001" w:usb1="08070000" w:usb2="00000010" w:usb3="00000000" w:csb0="00020000" w:csb1="00000000"/>
  </w:font>
  <w:font w:name="TimesNewRoman">
    <w:altName w:val="Times New Roman"/>
    <w:panose1 w:val="00000000000000000000"/>
    <w:charset w:val="A1"/>
    <w:family w:val="auto"/>
    <w:notTrueType/>
    <w:pitch w:val="default"/>
    <w:sig w:usb0="00000085" w:usb1="08070000" w:usb2="00000010" w:usb3="00000000" w:csb0="00020088"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3ECB"/>
    <w:multiLevelType w:val="multilevel"/>
    <w:tmpl w:val="588C6A4E"/>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245C62"/>
    <w:multiLevelType w:val="multilevel"/>
    <w:tmpl w:val="D0BC397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27774280"/>
    <w:multiLevelType w:val="multilevel"/>
    <w:tmpl w:val="B004FE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7630BC"/>
    <w:multiLevelType w:val="multilevel"/>
    <w:tmpl w:val="A3101C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CE856DF"/>
    <w:multiLevelType w:val="multilevel"/>
    <w:tmpl w:val="FCC831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2A475AF"/>
    <w:multiLevelType w:val="multilevel"/>
    <w:tmpl w:val="383CCA22"/>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0BC2C87"/>
    <w:multiLevelType w:val="multilevel"/>
    <w:tmpl w:val="C89ED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296"/>
  <w:hyphenationZone w:val="396"/>
  <w:characterSpacingControl w:val="doNotCompress"/>
  <w:compat/>
  <w:rsids>
    <w:rsidRoot w:val="00F42AAF"/>
    <w:rsid w:val="0033556D"/>
    <w:rsid w:val="00F42A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2AAF"/>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13236</Words>
  <Characters>7546</Characters>
  <Application>Microsoft Office Word</Application>
  <DocSecurity>0</DocSecurity>
  <Lines>62</Lines>
  <Paragraphs>41</Paragraphs>
  <ScaleCrop>false</ScaleCrop>
  <Company/>
  <LinksUpToDate>false</LinksUpToDate>
  <CharactersWithSpaces>20741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2017-03-21T14:52:00Z</dcterms:created>
  <dcterms:modified xsi:type="dcterms:W3CDTF">2017-03-21T14:52:00Z</dcterms:modified>
</cp:coreProperties>
</file>