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B2" w:rsidRPr="005B33AB" w:rsidRDefault="00741AB2" w:rsidP="00741AB2">
      <w:pPr>
        <w:jc w:val="center"/>
        <w:rPr>
          <w:b/>
          <w:szCs w:val="22"/>
        </w:rPr>
      </w:pPr>
      <w:bookmarkStart w:id="0" w:name="_Toc129243138"/>
      <w:bookmarkStart w:id="1" w:name="_Toc129243263"/>
      <w:r w:rsidRPr="00D5728D">
        <w:rPr>
          <w:b/>
          <w:szCs w:val="22"/>
        </w:rPr>
        <w:t>Pakuotės lapelis: informacija</w:t>
      </w:r>
      <w:r>
        <w:rPr>
          <w:b/>
          <w:szCs w:val="22"/>
        </w:rPr>
        <w:t xml:space="preserve"> </w:t>
      </w:r>
      <w:r w:rsidRPr="00D5728D">
        <w:rPr>
          <w:b/>
          <w:szCs w:val="22"/>
        </w:rPr>
        <w:t>vartotojui</w:t>
      </w:r>
      <w:bookmarkEnd w:id="0"/>
      <w:bookmarkEnd w:id="1"/>
    </w:p>
    <w:p w:rsidR="00741AB2" w:rsidRPr="005B33AB" w:rsidRDefault="00741AB2" w:rsidP="00741AB2">
      <w:pPr>
        <w:jc w:val="center"/>
        <w:rPr>
          <w:b/>
          <w:szCs w:val="22"/>
        </w:rPr>
      </w:pPr>
    </w:p>
    <w:p w:rsidR="00741AB2" w:rsidRPr="005B33AB" w:rsidRDefault="00741AB2" w:rsidP="00741AB2">
      <w:pPr>
        <w:jc w:val="center"/>
        <w:rPr>
          <w:b/>
        </w:rPr>
      </w:pPr>
      <w:r w:rsidRPr="005B33AB">
        <w:rPr>
          <w:b/>
        </w:rPr>
        <w:t>Dacarbazine Teva 100 mg milteliai injekciniam ar infuziniam tirpalui</w:t>
      </w:r>
    </w:p>
    <w:p w:rsidR="00741AB2" w:rsidRPr="005B33AB" w:rsidRDefault="00741AB2" w:rsidP="00741AB2">
      <w:pPr>
        <w:jc w:val="center"/>
        <w:rPr>
          <w:b/>
        </w:rPr>
      </w:pPr>
      <w:r w:rsidRPr="005B33AB">
        <w:rPr>
          <w:b/>
        </w:rPr>
        <w:t>Dacarbazine Teva 200 mg milteliai injekciniam ar infuziniam tirpalui</w:t>
      </w:r>
    </w:p>
    <w:p w:rsidR="00741AB2" w:rsidRPr="005B33AB" w:rsidRDefault="00741AB2" w:rsidP="00741AB2">
      <w:pPr>
        <w:jc w:val="center"/>
        <w:rPr>
          <w:szCs w:val="22"/>
        </w:rPr>
      </w:pPr>
      <w:r w:rsidRPr="005B33AB">
        <w:rPr>
          <w:szCs w:val="22"/>
        </w:rPr>
        <w:t>Dakarbazinas</w:t>
      </w:r>
    </w:p>
    <w:p w:rsidR="00741AB2" w:rsidRPr="005B33AB" w:rsidRDefault="00741AB2" w:rsidP="00741AB2">
      <w:pPr>
        <w:rPr>
          <w:szCs w:val="22"/>
        </w:rPr>
      </w:pPr>
    </w:p>
    <w:p w:rsidR="00741AB2" w:rsidRPr="005B33AB" w:rsidRDefault="00741AB2" w:rsidP="00741AB2">
      <w:pPr>
        <w:rPr>
          <w:b/>
          <w:szCs w:val="22"/>
        </w:rPr>
      </w:pPr>
      <w:r w:rsidRPr="005B33AB">
        <w:rPr>
          <w:b/>
          <w:szCs w:val="22"/>
        </w:rPr>
        <w:t>Atidžiai perskaitykite visą šį lapelį, prieš pradėdami vartoti vaistą</w:t>
      </w:r>
      <w:r>
        <w:rPr>
          <w:b/>
          <w:szCs w:val="22"/>
        </w:rPr>
        <w:t>,</w:t>
      </w:r>
      <w:r w:rsidRPr="00D5728D">
        <w:t xml:space="preserve"> </w:t>
      </w:r>
      <w:r w:rsidRPr="00D5728D">
        <w:rPr>
          <w:b/>
          <w:szCs w:val="22"/>
        </w:rPr>
        <w:t>nes jame pateikiama Jums svarbi informacija.</w:t>
      </w:r>
    </w:p>
    <w:p w:rsidR="00741AB2" w:rsidRPr="005B33AB" w:rsidRDefault="00741AB2" w:rsidP="00741AB2">
      <w:pPr>
        <w:ind w:left="540" w:hanging="540"/>
        <w:rPr>
          <w:szCs w:val="22"/>
        </w:rPr>
      </w:pPr>
      <w:r w:rsidRPr="005B33AB">
        <w:rPr>
          <w:szCs w:val="22"/>
        </w:rPr>
        <w:t>-</w:t>
      </w:r>
      <w:r w:rsidRPr="005B33AB">
        <w:rPr>
          <w:szCs w:val="22"/>
        </w:rPr>
        <w:tab/>
        <w:t>Neišmeskite šio lapelio, nes vėl gali prireikti jį perskaityti.</w:t>
      </w:r>
    </w:p>
    <w:p w:rsidR="00741AB2" w:rsidRPr="005B33AB" w:rsidRDefault="00741AB2" w:rsidP="00741AB2">
      <w:pPr>
        <w:ind w:left="540" w:hanging="540"/>
        <w:rPr>
          <w:szCs w:val="22"/>
        </w:rPr>
      </w:pPr>
      <w:r w:rsidRPr="005B33AB">
        <w:rPr>
          <w:szCs w:val="22"/>
        </w:rPr>
        <w:t>-</w:t>
      </w:r>
      <w:r w:rsidRPr="005B33AB">
        <w:rPr>
          <w:szCs w:val="22"/>
        </w:rPr>
        <w:tab/>
        <w:t>Jeigu kiltų daugiau klausimų, kreipkitės į gydytoją arba vaistininką.</w:t>
      </w:r>
    </w:p>
    <w:p w:rsidR="00741AB2" w:rsidRPr="005B33AB" w:rsidRDefault="00741AB2" w:rsidP="00741AB2">
      <w:pPr>
        <w:ind w:left="540" w:hanging="540"/>
        <w:rPr>
          <w:szCs w:val="22"/>
        </w:rPr>
      </w:pPr>
      <w:r w:rsidRPr="005B33AB">
        <w:rPr>
          <w:szCs w:val="22"/>
        </w:rPr>
        <w:t>-</w:t>
      </w:r>
      <w:r w:rsidRPr="005B33AB">
        <w:rPr>
          <w:szCs w:val="22"/>
        </w:rPr>
        <w:tab/>
        <w:t xml:space="preserve">Šis vaistas skirtas Jums, todėl kitiems žmonėms jo duoti negalima. Vaistas gali jiems pakenkti (net tiems, kurių ligos </w:t>
      </w:r>
      <w:r w:rsidRPr="00481F43">
        <w:rPr>
          <w:szCs w:val="22"/>
        </w:rPr>
        <w:t>požymiai</w:t>
      </w:r>
      <w:r w:rsidRPr="005B33AB">
        <w:rPr>
          <w:szCs w:val="22"/>
        </w:rPr>
        <w:t xml:space="preserve"> yra tokie patys kaip Jūsų).</w:t>
      </w:r>
    </w:p>
    <w:p w:rsidR="00741AB2" w:rsidRPr="005B33AB" w:rsidRDefault="00741AB2" w:rsidP="00741AB2">
      <w:pPr>
        <w:ind w:left="540" w:hanging="540"/>
        <w:rPr>
          <w:szCs w:val="22"/>
        </w:rPr>
      </w:pPr>
      <w:r w:rsidRPr="005B33AB">
        <w:rPr>
          <w:szCs w:val="22"/>
        </w:rPr>
        <w:t>-</w:t>
      </w:r>
      <w:r w:rsidRPr="005B33AB">
        <w:rPr>
          <w:szCs w:val="22"/>
        </w:rPr>
        <w:tab/>
        <w:t xml:space="preserve">Jeigu pasireiškė šalutinis poveikis </w:t>
      </w:r>
      <w:r w:rsidRPr="00481F43">
        <w:rPr>
          <w:szCs w:val="22"/>
        </w:rPr>
        <w:t>(net jeigu jis šiame lapelyje nenurodytas)</w:t>
      </w:r>
      <w:r>
        <w:rPr>
          <w:szCs w:val="22"/>
        </w:rPr>
        <w:t>,</w:t>
      </w:r>
      <w:r w:rsidRPr="005B33AB">
        <w:rPr>
          <w:szCs w:val="22"/>
        </w:rPr>
        <w:t xml:space="preserve"> </w:t>
      </w:r>
      <w:r>
        <w:rPr>
          <w:szCs w:val="22"/>
        </w:rPr>
        <w:t xml:space="preserve">kraipkitės į </w:t>
      </w:r>
      <w:r w:rsidRPr="005B33AB">
        <w:rPr>
          <w:szCs w:val="22"/>
        </w:rPr>
        <w:t>gydytoj</w:t>
      </w:r>
      <w:r>
        <w:rPr>
          <w:szCs w:val="22"/>
        </w:rPr>
        <w:t>ą</w:t>
      </w:r>
      <w:r w:rsidRPr="005B33AB">
        <w:rPr>
          <w:szCs w:val="22"/>
        </w:rPr>
        <w:t xml:space="preserve"> arba vaistinink</w:t>
      </w:r>
      <w:r>
        <w:rPr>
          <w:szCs w:val="22"/>
        </w:rPr>
        <w:t>ą</w:t>
      </w:r>
      <w:r w:rsidRPr="005B33AB">
        <w:rPr>
          <w:szCs w:val="22"/>
        </w:rPr>
        <w:t>.</w:t>
      </w:r>
      <w:r>
        <w:rPr>
          <w:szCs w:val="22"/>
        </w:rPr>
        <w:t xml:space="preserve"> Žr. 4 skyrių.</w:t>
      </w:r>
    </w:p>
    <w:p w:rsidR="00741AB2" w:rsidRPr="005B33AB" w:rsidRDefault="00741AB2" w:rsidP="00741AB2">
      <w:pPr>
        <w:rPr>
          <w:szCs w:val="22"/>
        </w:rPr>
      </w:pPr>
    </w:p>
    <w:p w:rsidR="00741AB2" w:rsidRDefault="00741AB2" w:rsidP="00741AB2">
      <w:pPr>
        <w:pStyle w:val="Pagrindinistekstas"/>
        <w:spacing w:after="0"/>
        <w:outlineLvl w:val="0"/>
        <w:rPr>
          <w:b/>
        </w:rPr>
      </w:pPr>
      <w:r w:rsidRPr="00481F43">
        <w:rPr>
          <w:b/>
        </w:rPr>
        <w:t>Apie ką rašoma šiame lapelyje?</w:t>
      </w:r>
    </w:p>
    <w:p w:rsidR="00741AB2" w:rsidRPr="005B33AB" w:rsidRDefault="00741AB2" w:rsidP="00741AB2">
      <w:pPr>
        <w:pStyle w:val="Pagrindinistekstas"/>
        <w:spacing w:after="0"/>
        <w:outlineLvl w:val="0"/>
        <w:rPr>
          <w:b/>
        </w:rPr>
      </w:pPr>
    </w:p>
    <w:p w:rsidR="00741AB2" w:rsidRPr="005B33AB" w:rsidRDefault="00741AB2" w:rsidP="00741AB2">
      <w:pPr>
        <w:ind w:left="540" w:hanging="540"/>
        <w:rPr>
          <w:szCs w:val="22"/>
        </w:rPr>
      </w:pPr>
      <w:r w:rsidRPr="005B33AB">
        <w:t>1.</w:t>
      </w:r>
      <w:r w:rsidRPr="005B33AB">
        <w:tab/>
      </w:r>
      <w:r w:rsidRPr="005B33AB">
        <w:rPr>
          <w:szCs w:val="22"/>
        </w:rPr>
        <w:t>Kas yra Dacarbazine Teva ir kam jis vartojamas</w:t>
      </w:r>
    </w:p>
    <w:p w:rsidR="00741AB2" w:rsidRPr="005B33AB" w:rsidRDefault="00741AB2" w:rsidP="00741AB2">
      <w:pPr>
        <w:ind w:left="540" w:hanging="540"/>
        <w:rPr>
          <w:szCs w:val="22"/>
        </w:rPr>
      </w:pPr>
      <w:r w:rsidRPr="005B33AB">
        <w:rPr>
          <w:szCs w:val="22"/>
        </w:rPr>
        <w:t>2.</w:t>
      </w:r>
      <w:r w:rsidRPr="005B33AB">
        <w:rPr>
          <w:szCs w:val="22"/>
        </w:rPr>
        <w:tab/>
        <w:t>Kas žinotina prieš vartojant Dacarbazine Teva</w:t>
      </w:r>
    </w:p>
    <w:p w:rsidR="00741AB2" w:rsidRPr="005B33AB" w:rsidRDefault="00741AB2" w:rsidP="00741AB2">
      <w:pPr>
        <w:ind w:left="540" w:hanging="540"/>
        <w:rPr>
          <w:szCs w:val="22"/>
        </w:rPr>
      </w:pPr>
      <w:r w:rsidRPr="005B33AB">
        <w:rPr>
          <w:szCs w:val="22"/>
        </w:rPr>
        <w:t>3.</w:t>
      </w:r>
      <w:r w:rsidRPr="005B33AB">
        <w:rPr>
          <w:szCs w:val="22"/>
        </w:rPr>
        <w:tab/>
        <w:t>Kaip vartoti Dacarbazine Teva</w:t>
      </w:r>
    </w:p>
    <w:p w:rsidR="00741AB2" w:rsidRPr="005B33AB" w:rsidRDefault="00741AB2" w:rsidP="00741AB2">
      <w:pPr>
        <w:ind w:left="540" w:hanging="540"/>
        <w:rPr>
          <w:szCs w:val="22"/>
        </w:rPr>
      </w:pPr>
      <w:r w:rsidRPr="005B33AB">
        <w:rPr>
          <w:szCs w:val="22"/>
        </w:rPr>
        <w:t>4.</w:t>
      </w:r>
      <w:r w:rsidRPr="005B33AB">
        <w:rPr>
          <w:szCs w:val="22"/>
        </w:rPr>
        <w:tab/>
        <w:t>Galimas šalutinis poveikis</w:t>
      </w:r>
    </w:p>
    <w:p w:rsidR="00741AB2" w:rsidRPr="005B33AB" w:rsidRDefault="00741AB2" w:rsidP="00741AB2">
      <w:pPr>
        <w:ind w:left="540" w:hanging="540"/>
        <w:rPr>
          <w:szCs w:val="22"/>
        </w:rPr>
      </w:pPr>
      <w:r w:rsidRPr="005B33AB">
        <w:rPr>
          <w:szCs w:val="22"/>
        </w:rPr>
        <w:t>5.</w:t>
      </w:r>
      <w:r w:rsidRPr="005B33AB">
        <w:rPr>
          <w:szCs w:val="22"/>
        </w:rPr>
        <w:tab/>
        <w:t>Kaip laikyti Dacarbazine Teva</w:t>
      </w:r>
    </w:p>
    <w:p w:rsidR="00741AB2" w:rsidRPr="005B33AB" w:rsidRDefault="00741AB2" w:rsidP="00741AB2">
      <w:pPr>
        <w:ind w:left="540" w:hanging="540"/>
        <w:rPr>
          <w:szCs w:val="22"/>
        </w:rPr>
      </w:pPr>
      <w:r w:rsidRPr="005B33AB">
        <w:rPr>
          <w:szCs w:val="22"/>
        </w:rPr>
        <w:t>6.</w:t>
      </w:r>
      <w:r w:rsidRPr="005B33AB">
        <w:rPr>
          <w:szCs w:val="22"/>
        </w:rPr>
        <w:tab/>
      </w:r>
      <w:r w:rsidRPr="00481F43">
        <w:rPr>
          <w:szCs w:val="22"/>
        </w:rPr>
        <w:t>Pakuotės turinys ir kita informacija</w:t>
      </w:r>
    </w:p>
    <w:p w:rsidR="00741AB2" w:rsidRPr="005B33AB" w:rsidRDefault="00741AB2" w:rsidP="00741AB2">
      <w:pPr>
        <w:ind w:left="540" w:hanging="540"/>
        <w:rPr>
          <w:szCs w:val="22"/>
        </w:rPr>
      </w:pPr>
    </w:p>
    <w:p w:rsidR="00741AB2" w:rsidRPr="005B33AB" w:rsidRDefault="00741AB2" w:rsidP="00741AB2">
      <w:pPr>
        <w:ind w:left="540" w:hanging="540"/>
        <w:rPr>
          <w:szCs w:val="22"/>
        </w:rPr>
      </w:pPr>
    </w:p>
    <w:p w:rsidR="00741AB2" w:rsidRPr="005B33AB" w:rsidRDefault="00741AB2" w:rsidP="00741AB2">
      <w:pPr>
        <w:ind w:left="567" w:hanging="567"/>
        <w:rPr>
          <w:b/>
        </w:rPr>
      </w:pPr>
      <w:r w:rsidRPr="005B33AB">
        <w:rPr>
          <w:b/>
        </w:rPr>
        <w:t>1.</w:t>
      </w:r>
      <w:r w:rsidRPr="005B33AB">
        <w:rPr>
          <w:b/>
        </w:rPr>
        <w:tab/>
      </w:r>
      <w:r w:rsidRPr="001D4CD8">
        <w:rPr>
          <w:b/>
        </w:rPr>
        <w:t>Kas yra</w:t>
      </w:r>
      <w:r>
        <w:rPr>
          <w:b/>
        </w:rPr>
        <w:t xml:space="preserve"> </w:t>
      </w:r>
      <w:r w:rsidRPr="001D4CD8">
        <w:rPr>
          <w:b/>
        </w:rPr>
        <w:t>Dacarbazine Teva</w:t>
      </w:r>
      <w:r w:rsidRPr="001D4CD8" w:rsidDel="001D4CD8">
        <w:rPr>
          <w:b/>
        </w:rPr>
        <w:t xml:space="preserve"> </w:t>
      </w:r>
      <w:r w:rsidRPr="001D4CD8">
        <w:rPr>
          <w:b/>
        </w:rPr>
        <w:t>ir kam jis vartojamas</w:t>
      </w:r>
    </w:p>
    <w:p w:rsidR="00741AB2" w:rsidRPr="005B33AB" w:rsidRDefault="00741AB2" w:rsidP="00741AB2">
      <w:pPr>
        <w:pStyle w:val="Pagrindinistekstas"/>
        <w:spacing w:after="0"/>
      </w:pPr>
    </w:p>
    <w:p w:rsidR="00741AB2" w:rsidRPr="005B33AB" w:rsidRDefault="00741AB2" w:rsidP="00741AB2">
      <w:pPr>
        <w:pStyle w:val="Pagrindinistekstas"/>
        <w:spacing w:after="0"/>
        <w:rPr>
          <w:b/>
        </w:rPr>
      </w:pPr>
      <w:r w:rsidRPr="005B33AB">
        <w:rPr>
          <w:b/>
        </w:rPr>
        <w:t>Kas yra Dacarbazine Teva ?</w:t>
      </w:r>
    </w:p>
    <w:p w:rsidR="00741AB2" w:rsidRPr="005B33AB" w:rsidRDefault="00741AB2" w:rsidP="00741AB2">
      <w:pPr>
        <w:rPr>
          <w:snapToGrid w:val="0"/>
        </w:rPr>
      </w:pPr>
      <w:r w:rsidRPr="005B33AB">
        <w:rPr>
          <w:snapToGrid w:val="0"/>
        </w:rPr>
        <w:t>Dakarbazinas priklauso vaistų, vadinamų citotoksinėmis medžiagomis, kurios vartojamos onkologinėms ligoms gydyti, grupei. Manoma, kad šie vaistai veikia trikdydami vėžinių ląstelių genetinę medžiagą (DNR).</w:t>
      </w:r>
    </w:p>
    <w:p w:rsidR="00741AB2" w:rsidRPr="005B33AB" w:rsidRDefault="00741AB2" w:rsidP="00741AB2"/>
    <w:p w:rsidR="00741AB2" w:rsidRPr="005B33AB" w:rsidRDefault="00741AB2" w:rsidP="00741AB2">
      <w:pPr>
        <w:pStyle w:val="Porat"/>
        <w:tabs>
          <w:tab w:val="clear" w:pos="4153"/>
          <w:tab w:val="clear" w:pos="8306"/>
        </w:tabs>
      </w:pPr>
      <w:r w:rsidRPr="005B33AB">
        <w:rPr>
          <w:snapToGrid w:val="0"/>
        </w:rPr>
        <w:t xml:space="preserve">Dakarbazinu gydoma </w:t>
      </w:r>
      <w:r w:rsidRPr="005B33AB">
        <w:t>metastazavusi piktybinė melanoma.</w:t>
      </w:r>
    </w:p>
    <w:p w:rsidR="00741AB2" w:rsidRPr="005B33AB" w:rsidRDefault="00741AB2" w:rsidP="00741AB2">
      <w:pPr>
        <w:rPr>
          <w:szCs w:val="22"/>
        </w:rPr>
      </w:pPr>
      <w:r w:rsidRPr="005B33AB">
        <w:rPr>
          <w:szCs w:val="22"/>
        </w:rPr>
        <w:t>Toliau išvard</w:t>
      </w:r>
      <w:r>
        <w:rPr>
          <w:szCs w:val="22"/>
        </w:rPr>
        <w:t>y</w:t>
      </w:r>
      <w:r w:rsidRPr="005B33AB">
        <w:rPr>
          <w:szCs w:val="22"/>
        </w:rPr>
        <w:t>tais atvejais dakarbazinas vartojamas kaip sudėtinė kombinuotos chemoterapijos dalis:</w:t>
      </w:r>
    </w:p>
    <w:p w:rsidR="00741AB2" w:rsidRPr="005B33AB" w:rsidRDefault="00741AB2" w:rsidP="00741AB2">
      <w:pPr>
        <w:pStyle w:val="Pagrindinistekstas"/>
        <w:numPr>
          <w:ilvl w:val="0"/>
          <w:numId w:val="1"/>
        </w:numPr>
        <w:tabs>
          <w:tab w:val="clear" w:pos="360"/>
          <w:tab w:val="num" w:pos="567"/>
        </w:tabs>
        <w:spacing w:after="0"/>
        <w:ind w:left="567" w:hanging="567"/>
        <w:outlineLvl w:val="0"/>
      </w:pPr>
      <w:r w:rsidRPr="005B33AB">
        <w:t>suaugusiųjų minkštųjų audinių progresavusi</w:t>
      </w:r>
      <w:r>
        <w:t>os</w:t>
      </w:r>
      <w:r w:rsidRPr="005B33AB">
        <w:t xml:space="preserve"> sarkomos (išskyrus mezoteliomą, Kapoši sarkomą) gydymas;</w:t>
      </w:r>
    </w:p>
    <w:p w:rsidR="00741AB2" w:rsidRPr="005B33AB" w:rsidRDefault="00741AB2" w:rsidP="00741AB2">
      <w:pPr>
        <w:pStyle w:val="Pagrindinistekstas"/>
        <w:numPr>
          <w:ilvl w:val="0"/>
          <w:numId w:val="1"/>
        </w:numPr>
        <w:tabs>
          <w:tab w:val="clear" w:pos="360"/>
          <w:tab w:val="num" w:pos="567"/>
        </w:tabs>
        <w:spacing w:after="0"/>
        <w:ind w:left="567" w:hanging="567"/>
        <w:outlineLvl w:val="0"/>
      </w:pPr>
      <w:r w:rsidRPr="005B33AB">
        <w:t>progresavusios Hodžkino ligos gydymas.</w:t>
      </w:r>
    </w:p>
    <w:p w:rsidR="00741AB2" w:rsidRPr="005B33AB" w:rsidRDefault="00741AB2" w:rsidP="00741AB2">
      <w:pPr>
        <w:pStyle w:val="Pagrindinistekstas"/>
        <w:spacing w:after="0"/>
      </w:pPr>
    </w:p>
    <w:p w:rsidR="00741AB2" w:rsidRPr="005B33AB" w:rsidRDefault="00741AB2" w:rsidP="00741AB2">
      <w:pPr>
        <w:pStyle w:val="Pagrindinistekstas"/>
        <w:spacing w:after="0"/>
      </w:pPr>
    </w:p>
    <w:p w:rsidR="00741AB2" w:rsidRPr="005B33AB" w:rsidRDefault="00741AB2" w:rsidP="00741AB2">
      <w:pPr>
        <w:ind w:left="567" w:hanging="567"/>
        <w:rPr>
          <w:b/>
        </w:rPr>
      </w:pPr>
      <w:r w:rsidRPr="005B33AB">
        <w:rPr>
          <w:b/>
        </w:rPr>
        <w:t>2.</w:t>
      </w:r>
      <w:r w:rsidRPr="005B33AB">
        <w:rPr>
          <w:b/>
        </w:rPr>
        <w:tab/>
      </w:r>
      <w:r w:rsidRPr="004B4B9E">
        <w:rPr>
          <w:b/>
        </w:rPr>
        <w:t>Kas žinotina prieš vartojant</w:t>
      </w:r>
      <w:r>
        <w:rPr>
          <w:b/>
        </w:rPr>
        <w:t xml:space="preserve"> </w:t>
      </w:r>
      <w:r w:rsidRPr="004B4B9E">
        <w:rPr>
          <w:b/>
        </w:rPr>
        <w:t>Dacarbazine Teva</w:t>
      </w:r>
    </w:p>
    <w:p w:rsidR="00741AB2" w:rsidRPr="005B33AB" w:rsidRDefault="00741AB2" w:rsidP="00741AB2"/>
    <w:p w:rsidR="00741AB2" w:rsidRPr="005B33AB" w:rsidRDefault="00741AB2" w:rsidP="00741AB2">
      <w:pPr>
        <w:rPr>
          <w:snapToGrid w:val="0"/>
          <w:lang w:eastAsia="en-US"/>
        </w:rPr>
      </w:pPr>
      <w:r w:rsidRPr="005B33AB">
        <w:rPr>
          <w:snapToGrid w:val="0"/>
          <w:lang w:eastAsia="en-US"/>
        </w:rPr>
        <w:t>Atidžiai perskaitykite</w:t>
      </w:r>
      <w:r>
        <w:rPr>
          <w:snapToGrid w:val="0"/>
          <w:lang w:eastAsia="en-US"/>
        </w:rPr>
        <w:t xml:space="preserve"> pakuotės</w:t>
      </w:r>
      <w:r w:rsidRPr="005B33AB">
        <w:rPr>
          <w:snapToGrid w:val="0"/>
          <w:lang w:eastAsia="en-US"/>
        </w:rPr>
        <w:t xml:space="preserve"> lapelyje pateiktą informaciją, galbūt Jūs negalėsite vartoti </w:t>
      </w:r>
      <w:r w:rsidRPr="005B33AB">
        <w:t xml:space="preserve">Dacarbazine Teva </w:t>
      </w:r>
      <w:r w:rsidRPr="005B33AB">
        <w:rPr>
          <w:snapToGrid w:val="0"/>
          <w:lang w:eastAsia="en-US"/>
        </w:rPr>
        <w:t>.</w:t>
      </w:r>
    </w:p>
    <w:p w:rsidR="00741AB2" w:rsidRPr="005B33AB" w:rsidRDefault="00741AB2" w:rsidP="00741AB2">
      <w:pPr>
        <w:rPr>
          <w:snapToGrid w:val="0"/>
          <w:lang w:eastAsia="en-US"/>
        </w:rPr>
      </w:pPr>
    </w:p>
    <w:p w:rsidR="00741AB2" w:rsidRPr="005B33AB" w:rsidRDefault="00741AB2" w:rsidP="00741AB2">
      <w:pPr>
        <w:rPr>
          <w:b/>
          <w:snapToGrid w:val="0"/>
          <w:lang w:eastAsia="en-US"/>
        </w:rPr>
      </w:pPr>
      <w:r w:rsidRPr="005B33AB">
        <w:rPr>
          <w:b/>
          <w:snapToGrid w:val="0"/>
          <w:lang w:eastAsia="en-US"/>
        </w:rPr>
        <w:t>Dacarbazine Teva i vartoti negalima:</w:t>
      </w:r>
    </w:p>
    <w:p w:rsidR="00741AB2" w:rsidRPr="005B33AB" w:rsidRDefault="00741AB2" w:rsidP="00741AB2">
      <w:pPr>
        <w:ind w:left="540" w:hanging="540"/>
        <w:rPr>
          <w:szCs w:val="22"/>
        </w:rPr>
      </w:pPr>
      <w:r w:rsidRPr="005B33AB">
        <w:rPr>
          <w:szCs w:val="22"/>
        </w:rPr>
        <w:t>-</w:t>
      </w:r>
      <w:r w:rsidRPr="005B33AB">
        <w:rPr>
          <w:szCs w:val="22"/>
        </w:rPr>
        <w:tab/>
        <w:t xml:space="preserve">jeigu yra alergija dakarbazinui arba bet kuriai pagalbinei </w:t>
      </w:r>
      <w:r>
        <w:rPr>
          <w:szCs w:val="22"/>
        </w:rPr>
        <w:t xml:space="preserve">šio vaisto </w:t>
      </w:r>
      <w:r w:rsidRPr="005B33AB">
        <w:rPr>
          <w:szCs w:val="22"/>
        </w:rPr>
        <w:t>medžiagai</w:t>
      </w:r>
      <w:r>
        <w:rPr>
          <w:szCs w:val="22"/>
        </w:rPr>
        <w:t xml:space="preserve"> </w:t>
      </w:r>
      <w:r w:rsidRPr="00014199">
        <w:rPr>
          <w:szCs w:val="22"/>
        </w:rPr>
        <w:t>(jos išvardytos 6 skyriuje)</w:t>
      </w:r>
      <w:r w:rsidRPr="005B33AB">
        <w:rPr>
          <w:szCs w:val="22"/>
        </w:rPr>
        <w:t>;</w:t>
      </w:r>
    </w:p>
    <w:p w:rsidR="00741AB2" w:rsidRPr="005B33AB" w:rsidRDefault="00741AB2" w:rsidP="00741AB2">
      <w:pPr>
        <w:ind w:left="540" w:hanging="540"/>
        <w:rPr>
          <w:szCs w:val="22"/>
        </w:rPr>
      </w:pPr>
      <w:r w:rsidRPr="005B33AB">
        <w:rPr>
          <w:szCs w:val="22"/>
        </w:rPr>
        <w:t>-</w:t>
      </w:r>
      <w:r w:rsidRPr="005B33AB">
        <w:rPr>
          <w:szCs w:val="22"/>
        </w:rPr>
        <w:tab/>
        <w:t>jeigu yra kraujo ląstelių kiekio pokyčių;</w:t>
      </w:r>
    </w:p>
    <w:p w:rsidR="00741AB2" w:rsidRPr="005B33AB" w:rsidRDefault="00741AB2" w:rsidP="00741AB2">
      <w:pPr>
        <w:ind w:left="540" w:hanging="540"/>
        <w:rPr>
          <w:szCs w:val="22"/>
        </w:rPr>
      </w:pPr>
      <w:r w:rsidRPr="005B33AB">
        <w:rPr>
          <w:szCs w:val="22"/>
        </w:rPr>
        <w:t>-</w:t>
      </w:r>
      <w:r w:rsidRPr="005B33AB">
        <w:rPr>
          <w:szCs w:val="22"/>
        </w:rPr>
        <w:tab/>
        <w:t>jeigu esate nėščia arba planuojate pastoti;</w:t>
      </w:r>
    </w:p>
    <w:p w:rsidR="00741AB2" w:rsidRPr="005B33AB" w:rsidRDefault="00741AB2" w:rsidP="00741AB2">
      <w:pPr>
        <w:ind w:left="540" w:hanging="540"/>
        <w:rPr>
          <w:szCs w:val="22"/>
        </w:rPr>
      </w:pPr>
      <w:r w:rsidRPr="005B33AB">
        <w:rPr>
          <w:szCs w:val="22"/>
        </w:rPr>
        <w:t>-</w:t>
      </w:r>
      <w:r w:rsidRPr="005B33AB">
        <w:rPr>
          <w:szCs w:val="22"/>
        </w:rPr>
        <w:tab/>
        <w:t>žindymo laikotarpiu;</w:t>
      </w:r>
    </w:p>
    <w:p w:rsidR="00741AB2" w:rsidRPr="005B33AB" w:rsidRDefault="00741AB2" w:rsidP="00741AB2">
      <w:pPr>
        <w:ind w:left="540" w:hanging="540"/>
        <w:rPr>
          <w:szCs w:val="22"/>
        </w:rPr>
      </w:pPr>
      <w:r w:rsidRPr="005B33AB">
        <w:rPr>
          <w:szCs w:val="22"/>
        </w:rPr>
        <w:t>-        jeigu yra sunkios kepenų ir inkstų ligos.</w:t>
      </w:r>
    </w:p>
    <w:p w:rsidR="00741AB2" w:rsidRPr="005B33AB" w:rsidRDefault="00741AB2" w:rsidP="00741AB2">
      <w:pPr>
        <w:ind w:left="540" w:hanging="540"/>
        <w:rPr>
          <w:szCs w:val="22"/>
        </w:rPr>
      </w:pPr>
    </w:p>
    <w:p w:rsidR="00741AB2" w:rsidRPr="005B33AB" w:rsidRDefault="00741AB2" w:rsidP="00741AB2">
      <w:pPr>
        <w:rPr>
          <w:szCs w:val="22"/>
        </w:rPr>
      </w:pPr>
      <w:r w:rsidRPr="005B33AB">
        <w:rPr>
          <w:szCs w:val="22"/>
        </w:rPr>
        <w:t>Jeigu yra bent viena iš minėtų būklių ir Jūs dar neaptarėte jos su gydytoju arba slaugytoj</w:t>
      </w:r>
      <w:r>
        <w:rPr>
          <w:szCs w:val="22"/>
        </w:rPr>
        <w:t>u</w:t>
      </w:r>
      <w:r w:rsidRPr="005B33AB">
        <w:rPr>
          <w:szCs w:val="22"/>
        </w:rPr>
        <w:t>, tai turite padaryti kaip galima greičiau prieš prad</w:t>
      </w:r>
      <w:r>
        <w:rPr>
          <w:szCs w:val="22"/>
        </w:rPr>
        <w:t>ėdami</w:t>
      </w:r>
      <w:r w:rsidRPr="005B33AB">
        <w:rPr>
          <w:szCs w:val="22"/>
        </w:rPr>
        <w:t xml:space="preserve"> gydymą šiuo vaistu.</w:t>
      </w:r>
    </w:p>
    <w:p w:rsidR="00741AB2" w:rsidRPr="005B33AB" w:rsidRDefault="00741AB2" w:rsidP="00741AB2">
      <w:pPr>
        <w:rPr>
          <w:szCs w:val="22"/>
        </w:rPr>
      </w:pPr>
    </w:p>
    <w:p w:rsidR="00741AB2" w:rsidRPr="005B33AB" w:rsidRDefault="00741AB2" w:rsidP="00741AB2">
      <w:pPr>
        <w:rPr>
          <w:szCs w:val="22"/>
        </w:rPr>
      </w:pPr>
      <w:r w:rsidRPr="005B33AB">
        <w:rPr>
          <w:szCs w:val="22"/>
        </w:rPr>
        <w:lastRenderedPageBreak/>
        <w:t xml:space="preserve">Dacarbazine Teva  paprastai gydoma ligoninėje. Jums nereikės </w:t>
      </w:r>
      <w:r>
        <w:rPr>
          <w:szCs w:val="22"/>
        </w:rPr>
        <w:t>leistis</w:t>
      </w:r>
      <w:r w:rsidRPr="005B33AB">
        <w:rPr>
          <w:szCs w:val="22"/>
        </w:rPr>
        <w:t xml:space="preserve"> šio vaisto. Jūsų gydytojas arba slaugytoja</w:t>
      </w:r>
      <w:r>
        <w:rPr>
          <w:szCs w:val="22"/>
        </w:rPr>
        <w:t>s</w:t>
      </w:r>
      <w:r w:rsidRPr="005B33AB">
        <w:rPr>
          <w:szCs w:val="22"/>
        </w:rPr>
        <w:t xml:space="preserve"> su</w:t>
      </w:r>
      <w:r>
        <w:rPr>
          <w:szCs w:val="22"/>
        </w:rPr>
        <w:t>leis</w:t>
      </w:r>
      <w:r w:rsidRPr="005B33AB">
        <w:rPr>
          <w:szCs w:val="22"/>
        </w:rPr>
        <w:t xml:space="preserve"> vaistą, atidžiai ir dažnai </w:t>
      </w:r>
      <w:r>
        <w:rPr>
          <w:szCs w:val="22"/>
        </w:rPr>
        <w:t xml:space="preserve">Jus </w:t>
      </w:r>
      <w:r w:rsidRPr="005B33AB">
        <w:rPr>
          <w:szCs w:val="22"/>
        </w:rPr>
        <w:t>stebės gydymo metu ir baigus gydymą. Prieš kiekvieną vaisto su</w:t>
      </w:r>
      <w:r>
        <w:rPr>
          <w:szCs w:val="22"/>
        </w:rPr>
        <w:t>leidimą</w:t>
      </w:r>
      <w:r w:rsidRPr="005B33AB">
        <w:rPr>
          <w:szCs w:val="22"/>
        </w:rPr>
        <w:t xml:space="preserve"> bus tiriamas kraujas.</w:t>
      </w:r>
    </w:p>
    <w:p w:rsidR="00741AB2" w:rsidRPr="005B33AB" w:rsidRDefault="00741AB2" w:rsidP="00741AB2">
      <w:pPr>
        <w:rPr>
          <w:snapToGrid w:val="0"/>
          <w:lang w:eastAsia="en-US"/>
        </w:rPr>
      </w:pPr>
    </w:p>
    <w:p w:rsidR="00741AB2" w:rsidRPr="005B33AB" w:rsidRDefault="00741AB2" w:rsidP="00741AB2">
      <w:pPr>
        <w:rPr>
          <w:b/>
          <w:szCs w:val="22"/>
        </w:rPr>
      </w:pPr>
      <w:r w:rsidRPr="005B33AB">
        <w:rPr>
          <w:b/>
          <w:szCs w:val="22"/>
        </w:rPr>
        <w:t>Specialių atsargumo priemonių reikia:</w:t>
      </w:r>
    </w:p>
    <w:p w:rsidR="00741AB2" w:rsidRPr="005B33AB" w:rsidRDefault="00741AB2" w:rsidP="00741AB2">
      <w:pPr>
        <w:numPr>
          <w:ilvl w:val="0"/>
          <w:numId w:val="1"/>
        </w:numPr>
        <w:tabs>
          <w:tab w:val="clear" w:pos="360"/>
          <w:tab w:val="num" w:pos="567"/>
        </w:tabs>
        <w:ind w:left="426" w:hanging="426"/>
        <w:rPr>
          <w:snapToGrid w:val="0"/>
          <w:lang w:eastAsia="en-US"/>
        </w:rPr>
      </w:pPr>
      <w:r w:rsidRPr="005B33AB">
        <w:rPr>
          <w:snapToGrid w:val="0"/>
          <w:lang w:eastAsia="en-US"/>
        </w:rPr>
        <w:t>jeigu sutrikusi inkstų arba kepenų funkcija.</w:t>
      </w:r>
    </w:p>
    <w:p w:rsidR="00741AB2" w:rsidRPr="005B33AB" w:rsidRDefault="00741AB2" w:rsidP="00741AB2">
      <w:pPr>
        <w:rPr>
          <w:snapToGrid w:val="0"/>
          <w:lang w:eastAsia="en-US"/>
        </w:rPr>
      </w:pPr>
    </w:p>
    <w:p w:rsidR="00741AB2" w:rsidRPr="005B33AB" w:rsidRDefault="00741AB2" w:rsidP="00741AB2">
      <w:pPr>
        <w:rPr>
          <w:snapToGrid w:val="0"/>
          <w:szCs w:val="22"/>
          <w:lang w:eastAsia="en-US"/>
        </w:rPr>
      </w:pPr>
      <w:r w:rsidRPr="005B33AB">
        <w:rPr>
          <w:snapToGrid w:val="0"/>
          <w:szCs w:val="22"/>
          <w:lang w:eastAsia="en-US"/>
        </w:rPr>
        <w:t>Dėl galimo kaulų čiulpų slopinimo gydant dakarbazinu reikia atidžiai stebėti leukocitų, eritrocitų ir trombocitų skaičių kraujyje.</w:t>
      </w:r>
    </w:p>
    <w:p w:rsidR="00741AB2" w:rsidRPr="005B33AB" w:rsidRDefault="00741AB2" w:rsidP="00741AB2">
      <w:pPr>
        <w:rPr>
          <w:snapToGrid w:val="0"/>
          <w:szCs w:val="22"/>
          <w:lang w:eastAsia="en-US"/>
        </w:rPr>
      </w:pPr>
      <w:r w:rsidRPr="005B33AB">
        <w:rPr>
          <w:snapToGrid w:val="0"/>
          <w:szCs w:val="22"/>
          <w:lang w:eastAsia="en-US"/>
        </w:rPr>
        <w:t>Gydymo metu vengti hepatotoksinių vaistų ir alkoholio.</w:t>
      </w:r>
    </w:p>
    <w:p w:rsidR="00741AB2" w:rsidRPr="005B33AB" w:rsidRDefault="00741AB2" w:rsidP="00741AB2">
      <w:pPr>
        <w:rPr>
          <w:snapToGrid w:val="0"/>
          <w:lang w:eastAsia="en-US"/>
        </w:rPr>
      </w:pPr>
      <w:r w:rsidRPr="005B33AB">
        <w:rPr>
          <w:snapToGrid w:val="0"/>
          <w:szCs w:val="22"/>
          <w:lang w:eastAsia="en-US"/>
        </w:rPr>
        <w:t xml:space="preserve">Dėl galimo kepenų pažeidimo gydant dakarbazinu svarbu reguliariai tikrinti kepenų dydį, funkciją ir tirti kraujo ląstelių kiekį (ypač eozinofilų). </w:t>
      </w:r>
    </w:p>
    <w:p w:rsidR="00741AB2" w:rsidRPr="005B33AB" w:rsidRDefault="00741AB2" w:rsidP="00741AB2">
      <w:pPr>
        <w:rPr>
          <w:snapToGrid w:val="0"/>
          <w:lang w:eastAsia="en-US"/>
        </w:rPr>
      </w:pPr>
      <w:r w:rsidRPr="005B33AB">
        <w:rPr>
          <w:snapToGrid w:val="0"/>
          <w:lang w:eastAsia="en-US"/>
        </w:rPr>
        <w:t>Reikia laikytis specialių atsargumo priemonių, kad dakarbazino nepatektų ant odos ir į akis.</w:t>
      </w:r>
    </w:p>
    <w:p w:rsidR="00741AB2" w:rsidRPr="005B33AB" w:rsidRDefault="00741AB2" w:rsidP="00741AB2">
      <w:pPr>
        <w:rPr>
          <w:snapToGrid w:val="0"/>
          <w:lang w:eastAsia="en-US"/>
        </w:rPr>
      </w:pPr>
    </w:p>
    <w:p w:rsidR="00741AB2" w:rsidRPr="005B33AB" w:rsidRDefault="00741AB2" w:rsidP="00741AB2">
      <w:pPr>
        <w:rPr>
          <w:b/>
          <w:szCs w:val="22"/>
        </w:rPr>
      </w:pPr>
      <w:r w:rsidRPr="00373870">
        <w:rPr>
          <w:b/>
          <w:szCs w:val="22"/>
        </w:rPr>
        <w:t>Kiti vaistai ir</w:t>
      </w:r>
      <w:r>
        <w:rPr>
          <w:b/>
          <w:szCs w:val="22"/>
        </w:rPr>
        <w:t xml:space="preserve"> </w:t>
      </w:r>
      <w:r w:rsidRPr="00373870">
        <w:rPr>
          <w:b/>
          <w:szCs w:val="22"/>
        </w:rPr>
        <w:t>Dacarbazine Teva</w:t>
      </w:r>
    </w:p>
    <w:p w:rsidR="00741AB2" w:rsidRPr="005B33AB" w:rsidRDefault="00741AB2" w:rsidP="00741AB2">
      <w:pPr>
        <w:rPr>
          <w:snapToGrid w:val="0"/>
          <w:lang w:eastAsia="en-US"/>
        </w:rPr>
      </w:pPr>
      <w:r w:rsidRPr="00373870">
        <w:rPr>
          <w:szCs w:val="22"/>
        </w:rPr>
        <w:t>Jeigu vartojate ar neseniai vartojote kitų vaistų arba dėl to nesate tikri, apie tai pasakykite</w:t>
      </w:r>
      <w:r w:rsidRPr="005B33AB">
        <w:rPr>
          <w:szCs w:val="22"/>
        </w:rPr>
        <w:t xml:space="preserve"> gydytojui, vaistininkui</w:t>
      </w:r>
      <w:r>
        <w:rPr>
          <w:szCs w:val="22"/>
        </w:rPr>
        <w:t xml:space="preserve"> arba slaugytojui</w:t>
      </w:r>
      <w:r w:rsidRPr="005B33AB">
        <w:rPr>
          <w:szCs w:val="22"/>
        </w:rPr>
        <w:t>.</w:t>
      </w:r>
      <w:r w:rsidRPr="005B33AB">
        <w:rPr>
          <w:snapToGrid w:val="0"/>
          <w:lang w:eastAsia="en-US"/>
        </w:rPr>
        <w:t xml:space="preserve"> Kiti vaistai gali keisti dakarbazino veikimą, be to, dakarbazinas gali keisti kitų vaistų poveikį.</w:t>
      </w:r>
    </w:p>
    <w:p w:rsidR="00741AB2" w:rsidRPr="005B33AB" w:rsidRDefault="00741AB2" w:rsidP="00741AB2">
      <w:pPr>
        <w:rPr>
          <w:snapToGrid w:val="0"/>
          <w:lang w:eastAsia="en-US"/>
        </w:rPr>
      </w:pPr>
    </w:p>
    <w:p w:rsidR="00741AB2" w:rsidRPr="005B33AB" w:rsidRDefault="00741AB2" w:rsidP="00741AB2">
      <w:pPr>
        <w:rPr>
          <w:snapToGrid w:val="0"/>
          <w:lang w:eastAsia="en-US"/>
        </w:rPr>
      </w:pPr>
      <w:r w:rsidRPr="005B33AB">
        <w:rPr>
          <w:snapToGrid w:val="0"/>
          <w:lang w:eastAsia="en-US"/>
        </w:rPr>
        <w:t>Vartojant dakarbaziną, negalima skiepyti kai kuriomis vakcinomis. Jeigu manote, kad reikės skiepytis (pvz., prieš kelionę), pasakykite gydytojui.</w:t>
      </w:r>
    </w:p>
    <w:p w:rsidR="00741AB2" w:rsidRPr="005B33AB" w:rsidRDefault="00741AB2" w:rsidP="00741AB2">
      <w:pPr>
        <w:rPr>
          <w:snapToGrid w:val="0"/>
          <w:lang w:eastAsia="en-US"/>
        </w:rPr>
      </w:pPr>
    </w:p>
    <w:p w:rsidR="00741AB2" w:rsidRPr="005B33AB" w:rsidRDefault="00741AB2" w:rsidP="00741AB2">
      <w:pPr>
        <w:rPr>
          <w:b/>
          <w:szCs w:val="22"/>
        </w:rPr>
      </w:pPr>
      <w:r w:rsidRPr="005B33AB">
        <w:rPr>
          <w:b/>
          <w:szCs w:val="22"/>
        </w:rPr>
        <w:t>Nėštumas</w:t>
      </w:r>
      <w:r>
        <w:rPr>
          <w:b/>
          <w:szCs w:val="22"/>
        </w:rPr>
        <w:t xml:space="preserve">, </w:t>
      </w:r>
      <w:r w:rsidRPr="005B33AB">
        <w:rPr>
          <w:b/>
          <w:szCs w:val="22"/>
        </w:rPr>
        <w:t>žindymo laikotarpis</w:t>
      </w:r>
      <w:r>
        <w:rPr>
          <w:b/>
          <w:szCs w:val="22"/>
        </w:rPr>
        <w:t xml:space="preserve"> ir vaisingumas</w:t>
      </w:r>
    </w:p>
    <w:p w:rsidR="00741AB2" w:rsidRPr="005B33AB" w:rsidRDefault="00741AB2" w:rsidP="00741AB2">
      <w:pPr>
        <w:rPr>
          <w:snapToGrid w:val="0"/>
          <w:lang w:eastAsia="en-US"/>
        </w:rPr>
      </w:pPr>
    </w:p>
    <w:p w:rsidR="00741AB2" w:rsidRPr="00E0572B" w:rsidRDefault="00741AB2" w:rsidP="00741AB2">
      <w:pPr>
        <w:rPr>
          <w:snapToGrid w:val="0"/>
          <w:lang w:eastAsia="en-US"/>
        </w:rPr>
      </w:pPr>
      <w:r w:rsidRPr="00E0572B">
        <w:rPr>
          <w:snapToGrid w:val="0"/>
          <w:lang w:eastAsia="en-US"/>
        </w:rPr>
        <w:t>Jeigu esate nėščia, žindote kūdikį, manote, kad galbūt esate nėščia, arba planuojate pastoti, tai prieš varto</w:t>
      </w:r>
      <w:r w:rsidRPr="00D14B57">
        <w:rPr>
          <w:snapToGrid w:val="0"/>
          <w:lang w:eastAsia="en-US"/>
        </w:rPr>
        <w:t>dama šį vaistą, pasitarkite su gydytoju</w:t>
      </w:r>
      <w:r>
        <w:rPr>
          <w:snapToGrid w:val="0"/>
          <w:lang w:eastAsia="en-US"/>
        </w:rPr>
        <w:t xml:space="preserve"> </w:t>
      </w:r>
      <w:r w:rsidRPr="00D14B57">
        <w:rPr>
          <w:snapToGrid w:val="0"/>
          <w:lang w:eastAsia="en-US"/>
        </w:rPr>
        <w:t>arba</w:t>
      </w:r>
      <w:r>
        <w:rPr>
          <w:snapToGrid w:val="0"/>
          <w:lang w:eastAsia="en-US"/>
        </w:rPr>
        <w:t xml:space="preserve"> </w:t>
      </w:r>
      <w:r w:rsidRPr="00854DAA">
        <w:rPr>
          <w:snapToGrid w:val="0"/>
          <w:lang w:eastAsia="en-US"/>
        </w:rPr>
        <w:t>vaistininku</w:t>
      </w:r>
      <w:r w:rsidRPr="00E0572B">
        <w:rPr>
          <w:snapToGrid w:val="0"/>
          <w:lang w:eastAsia="en-US"/>
        </w:rPr>
        <w:t>.</w:t>
      </w:r>
    </w:p>
    <w:p w:rsidR="00741AB2" w:rsidRDefault="00741AB2" w:rsidP="00741AB2">
      <w:pPr>
        <w:rPr>
          <w:i/>
          <w:snapToGrid w:val="0"/>
          <w:lang w:eastAsia="en-US"/>
        </w:rPr>
      </w:pPr>
    </w:p>
    <w:p w:rsidR="00741AB2" w:rsidRPr="005B33AB" w:rsidRDefault="00741AB2" w:rsidP="00741AB2">
      <w:pPr>
        <w:rPr>
          <w:i/>
          <w:snapToGrid w:val="0"/>
          <w:lang w:eastAsia="en-US"/>
        </w:rPr>
      </w:pPr>
      <w:r w:rsidRPr="005B33AB">
        <w:rPr>
          <w:i/>
          <w:snapToGrid w:val="0"/>
          <w:lang w:eastAsia="en-US"/>
        </w:rPr>
        <w:t>Nėštumas</w:t>
      </w:r>
    </w:p>
    <w:p w:rsidR="00741AB2" w:rsidRPr="005B33AB" w:rsidRDefault="00741AB2" w:rsidP="00741AB2">
      <w:pPr>
        <w:rPr>
          <w:snapToGrid w:val="0"/>
          <w:lang w:eastAsia="en-US"/>
        </w:rPr>
      </w:pPr>
      <w:r w:rsidRPr="005B33AB">
        <w:rPr>
          <w:szCs w:val="22"/>
        </w:rPr>
        <w:t>Dacarbazine Teva  n</w:t>
      </w:r>
      <w:r w:rsidRPr="005B33AB">
        <w:rPr>
          <w:snapToGrid w:val="0"/>
          <w:lang w:eastAsia="en-US"/>
        </w:rPr>
        <w:t xml:space="preserve">ėštumo metu vartoti negalima, nes šis vaistas daro </w:t>
      </w:r>
      <w:r w:rsidRPr="005B33AB">
        <w:t>kenksmingą</w:t>
      </w:r>
      <w:r w:rsidRPr="005B33AB">
        <w:rPr>
          <w:snapToGrid w:val="0"/>
          <w:lang w:eastAsia="en-US"/>
        </w:rPr>
        <w:t xml:space="preserve"> poveikį vaisiui.</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sidRPr="005B33AB">
        <w:rPr>
          <w:i/>
          <w:snapToGrid w:val="0"/>
          <w:lang w:eastAsia="en-US"/>
        </w:rPr>
        <w:t>Žindymo laikotarpis</w:t>
      </w:r>
    </w:p>
    <w:p w:rsidR="00741AB2" w:rsidRPr="005B33AB" w:rsidRDefault="00741AB2" w:rsidP="00741AB2">
      <w:pPr>
        <w:rPr>
          <w:snapToGrid w:val="0"/>
          <w:lang w:eastAsia="en-US"/>
        </w:rPr>
      </w:pPr>
      <w:r w:rsidRPr="005B33AB">
        <w:rPr>
          <w:szCs w:val="22"/>
        </w:rPr>
        <w:t xml:space="preserve">Dacarbazine Teva i žindymo laikotarpiu </w:t>
      </w:r>
      <w:r w:rsidRPr="005B33AB">
        <w:rPr>
          <w:snapToGrid w:val="0"/>
          <w:lang w:eastAsia="en-US"/>
        </w:rPr>
        <w:t xml:space="preserve">paprastai vartoti negalima, nes šis vaistas daro </w:t>
      </w:r>
      <w:r w:rsidRPr="005B33AB">
        <w:t>kenksmingą</w:t>
      </w:r>
      <w:r w:rsidRPr="005B33AB">
        <w:rPr>
          <w:snapToGrid w:val="0"/>
          <w:lang w:eastAsia="en-US"/>
        </w:rPr>
        <w:t xml:space="preserve"> poveikį žindomam kūdikiui.</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sidRPr="005B33AB">
        <w:rPr>
          <w:i/>
          <w:snapToGrid w:val="0"/>
          <w:lang w:eastAsia="en-US"/>
        </w:rPr>
        <w:t>Vaisingos moterys/Moterų ir vyrų kontracepcija</w:t>
      </w:r>
    </w:p>
    <w:p w:rsidR="00741AB2" w:rsidRPr="005B33AB" w:rsidRDefault="00741AB2" w:rsidP="00741AB2">
      <w:pPr>
        <w:autoSpaceDE w:val="0"/>
        <w:autoSpaceDN w:val="0"/>
        <w:adjustRightInd w:val="0"/>
        <w:jc w:val="both"/>
        <w:rPr>
          <w:szCs w:val="22"/>
          <w:lang w:eastAsia="hr-HR"/>
        </w:rPr>
      </w:pPr>
      <w:r w:rsidRPr="005B33AB">
        <w:t>Vyrams gydymo metu ir paskui bent šešis mėnesius patariama naudoti veiksmingą kontracepcijos metodą.</w:t>
      </w:r>
    </w:p>
    <w:p w:rsidR="00741AB2" w:rsidRPr="005B33AB" w:rsidRDefault="00741AB2" w:rsidP="00741AB2">
      <w:pPr>
        <w:pStyle w:val="Antrat5"/>
        <w:spacing w:before="0" w:after="0"/>
        <w:rPr>
          <w:b w:val="0"/>
          <w:sz w:val="22"/>
          <w:szCs w:val="22"/>
          <w:lang w:val="lt-LT"/>
        </w:rPr>
      </w:pPr>
      <w:r w:rsidRPr="005B33AB">
        <w:rPr>
          <w:b w:val="0"/>
          <w:sz w:val="22"/>
          <w:szCs w:val="22"/>
          <w:lang w:val="lt-LT"/>
        </w:rPr>
        <w:t>Gydymo dakarbazinu metu vaisingos moterys turi vengti pastoti.</w:t>
      </w:r>
    </w:p>
    <w:p w:rsidR="00741AB2" w:rsidRPr="005B33AB" w:rsidRDefault="00741AB2" w:rsidP="00741AB2">
      <w:pPr>
        <w:rPr>
          <w:snapToGrid w:val="0"/>
          <w:lang w:eastAsia="en-US"/>
        </w:rPr>
      </w:pPr>
    </w:p>
    <w:p w:rsidR="00741AB2" w:rsidRPr="005B33AB" w:rsidRDefault="00741AB2" w:rsidP="00741AB2">
      <w:pPr>
        <w:rPr>
          <w:b/>
          <w:szCs w:val="22"/>
        </w:rPr>
      </w:pPr>
      <w:r w:rsidRPr="005B33AB">
        <w:rPr>
          <w:b/>
          <w:szCs w:val="22"/>
        </w:rPr>
        <w:t>Vairavimas ir mechanizmų valdymas</w:t>
      </w:r>
    </w:p>
    <w:p w:rsidR="00741AB2" w:rsidRPr="005B33AB" w:rsidRDefault="00741AB2" w:rsidP="00741AB2">
      <w:pPr>
        <w:rPr>
          <w:snapToGrid w:val="0"/>
          <w:lang w:eastAsia="en-US"/>
        </w:rPr>
      </w:pPr>
      <w:r w:rsidRPr="005B33AB">
        <w:rPr>
          <w:snapToGrid w:val="0"/>
          <w:lang w:eastAsia="en-US"/>
        </w:rPr>
        <w:t>Dacarbazine Teva  gebėjimo vairuoti ir valdyti mechanizmus paprastai neveikia. Pirmą kartą sušvirkštus vaisto, turite laikytis atsargumo priemonių, ypač tais atvejais, jeigu pajutote galvos svaigimą, neryškiai (lyg per miglą) matote arba bet kuriuo atveju, jeigu nepasitikite savimi.</w:t>
      </w:r>
    </w:p>
    <w:p w:rsidR="00741AB2" w:rsidRPr="005B33AB" w:rsidRDefault="00741AB2" w:rsidP="00741AB2">
      <w:pPr>
        <w:rPr>
          <w:snapToGrid w:val="0"/>
          <w:lang w:eastAsia="en-US"/>
        </w:rPr>
      </w:pPr>
    </w:p>
    <w:p w:rsidR="00741AB2" w:rsidRPr="005B33AB" w:rsidRDefault="00741AB2" w:rsidP="00741AB2">
      <w:pPr>
        <w:rPr>
          <w:snapToGrid w:val="0"/>
          <w:lang w:eastAsia="en-US"/>
        </w:rPr>
      </w:pPr>
    </w:p>
    <w:p w:rsidR="00741AB2" w:rsidRPr="005B33AB" w:rsidRDefault="00741AB2" w:rsidP="00741AB2">
      <w:pPr>
        <w:ind w:left="567" w:hanging="567"/>
        <w:rPr>
          <w:b/>
        </w:rPr>
      </w:pPr>
      <w:r w:rsidRPr="005B33AB">
        <w:rPr>
          <w:b/>
        </w:rPr>
        <w:t>3.</w:t>
      </w:r>
      <w:r w:rsidRPr="005B33AB">
        <w:rPr>
          <w:b/>
        </w:rPr>
        <w:tab/>
      </w:r>
      <w:r w:rsidRPr="00050D28">
        <w:rPr>
          <w:b/>
        </w:rPr>
        <w:t>Kaip vartoti</w:t>
      </w:r>
      <w:r>
        <w:rPr>
          <w:b/>
        </w:rPr>
        <w:t xml:space="preserve"> </w:t>
      </w:r>
      <w:r w:rsidRPr="00050D28">
        <w:rPr>
          <w:b/>
        </w:rPr>
        <w:t>Dacarbazine Teva</w:t>
      </w:r>
    </w:p>
    <w:p w:rsidR="00741AB2" w:rsidRPr="005B33AB" w:rsidRDefault="00741AB2" w:rsidP="00741AB2">
      <w:pPr>
        <w:rPr>
          <w:snapToGrid w:val="0"/>
          <w:lang w:eastAsia="en-US"/>
        </w:rPr>
      </w:pPr>
    </w:p>
    <w:p w:rsidR="00741AB2" w:rsidRPr="005B33AB" w:rsidRDefault="00741AB2" w:rsidP="00741AB2">
      <w:pPr>
        <w:rPr>
          <w:snapToGrid w:val="0"/>
          <w:lang w:eastAsia="en-US"/>
        </w:rPr>
      </w:pPr>
      <w:r w:rsidRPr="005B33AB">
        <w:rPr>
          <w:snapToGrid w:val="0"/>
          <w:lang w:eastAsia="en-US"/>
        </w:rPr>
        <w:t>Vaistą visada su</w:t>
      </w:r>
      <w:r>
        <w:rPr>
          <w:snapToGrid w:val="0"/>
          <w:lang w:eastAsia="en-US"/>
        </w:rPr>
        <w:t>leis</w:t>
      </w:r>
      <w:r w:rsidRPr="005B33AB">
        <w:rPr>
          <w:snapToGrid w:val="0"/>
          <w:lang w:eastAsia="en-US"/>
        </w:rPr>
        <w:t xml:space="preserve"> slaugytoja</w:t>
      </w:r>
      <w:r>
        <w:rPr>
          <w:snapToGrid w:val="0"/>
          <w:lang w:eastAsia="en-US"/>
        </w:rPr>
        <w:t>s</w:t>
      </w:r>
      <w:r w:rsidRPr="005B33AB">
        <w:rPr>
          <w:snapToGrid w:val="0"/>
          <w:lang w:eastAsia="en-US"/>
        </w:rPr>
        <w:t xml:space="preserve"> arba gydytojas. Gydytojas apskaičiuos reikiamą dakarbazino dozę ir vartojimo dažnumą pagal kiekvieno paciento poreikį.</w:t>
      </w:r>
    </w:p>
    <w:p w:rsidR="00741AB2" w:rsidRPr="005B33AB" w:rsidRDefault="00741AB2" w:rsidP="00741AB2">
      <w:pPr>
        <w:rPr>
          <w:snapToGrid w:val="0"/>
          <w:lang w:eastAsia="en-US"/>
        </w:rPr>
      </w:pPr>
    </w:p>
    <w:p w:rsidR="00741AB2" w:rsidRPr="005B33AB" w:rsidRDefault="00741AB2" w:rsidP="00741AB2">
      <w:pPr>
        <w:rPr>
          <w:snapToGrid w:val="0"/>
          <w:lang w:eastAsia="en-US"/>
        </w:rPr>
      </w:pPr>
      <w:r w:rsidRPr="005B33AB">
        <w:rPr>
          <w:snapToGrid w:val="0"/>
          <w:lang w:eastAsia="en-US"/>
        </w:rPr>
        <w:t>Dakarbazin</w:t>
      </w:r>
      <w:r>
        <w:rPr>
          <w:snapToGrid w:val="0"/>
          <w:lang w:eastAsia="en-US"/>
        </w:rPr>
        <w:t>e Teva</w:t>
      </w:r>
      <w:r w:rsidRPr="005B33AB">
        <w:rPr>
          <w:snapToGrid w:val="0"/>
          <w:lang w:eastAsia="en-US"/>
        </w:rPr>
        <w:t xml:space="preserve"> paruošia gydytojas arba slaugytoja</w:t>
      </w:r>
      <w:r>
        <w:rPr>
          <w:snapToGrid w:val="0"/>
          <w:lang w:eastAsia="en-US"/>
        </w:rPr>
        <w:t>s</w:t>
      </w:r>
      <w:r w:rsidRPr="005B33AB">
        <w:rPr>
          <w:snapToGrid w:val="0"/>
          <w:lang w:eastAsia="en-US"/>
        </w:rPr>
        <w:t xml:space="preserve"> (ištirpina miltelius steriliame injekciniame vandenyje). Tai atliekama sušvirkščiant tirpiklį į </w:t>
      </w:r>
      <w:r>
        <w:rPr>
          <w:snapToGrid w:val="0"/>
          <w:lang w:eastAsia="en-US"/>
        </w:rPr>
        <w:t>flakoną</w:t>
      </w:r>
      <w:r w:rsidRPr="005B33AB">
        <w:rPr>
          <w:snapToGrid w:val="0"/>
          <w:lang w:eastAsia="en-US"/>
        </w:rPr>
        <w:t xml:space="preserve"> su milteliais. 100 mg </w:t>
      </w:r>
      <w:r>
        <w:rPr>
          <w:snapToGrid w:val="0"/>
          <w:lang w:eastAsia="en-US"/>
        </w:rPr>
        <w:t xml:space="preserve">vaistinio </w:t>
      </w:r>
      <w:r w:rsidRPr="005B33AB">
        <w:rPr>
          <w:snapToGrid w:val="0"/>
          <w:lang w:eastAsia="en-US"/>
        </w:rPr>
        <w:t xml:space="preserve">preparato ištirpinama 9,9 ml vandens, o 200 mg </w:t>
      </w:r>
      <w:r>
        <w:rPr>
          <w:snapToGrid w:val="0"/>
          <w:lang w:eastAsia="en-US"/>
        </w:rPr>
        <w:t xml:space="preserve">vaistinio </w:t>
      </w:r>
      <w:r w:rsidRPr="005B33AB">
        <w:rPr>
          <w:snapToGrid w:val="0"/>
          <w:lang w:eastAsia="en-US"/>
        </w:rPr>
        <w:t xml:space="preserve">preparato – 19,7 ml. Taigi gaunama vienoda abiejų dakarbazino tirpalų koncentracija (10 mg/ml). </w:t>
      </w:r>
    </w:p>
    <w:p w:rsidR="00741AB2" w:rsidRPr="00E0572B" w:rsidRDefault="00741AB2" w:rsidP="00741AB2">
      <w:pPr>
        <w:pStyle w:val="Pagrindinistekstas"/>
        <w:spacing w:after="0"/>
      </w:pPr>
      <w:r w:rsidRPr="005B33AB">
        <w:t>Paruoštas tirpalas būna gelsvas arba bespalvis.</w:t>
      </w:r>
    </w:p>
    <w:p w:rsidR="00741AB2" w:rsidRPr="005B33AB" w:rsidRDefault="00741AB2" w:rsidP="00741AB2">
      <w:pPr>
        <w:rPr>
          <w:snapToGrid w:val="0"/>
          <w:lang w:eastAsia="en-US"/>
        </w:rPr>
      </w:pPr>
      <w:r w:rsidRPr="005B33AB">
        <w:rPr>
          <w:snapToGrid w:val="0"/>
          <w:lang w:eastAsia="en-US"/>
        </w:rPr>
        <w:lastRenderedPageBreak/>
        <w:t>Dakarbaziną galima lėtai infuzuoti į veną per 15</w:t>
      </w:r>
      <w:r w:rsidRPr="005B33AB">
        <w:rPr>
          <w:snapToGrid w:val="0"/>
          <w:lang w:eastAsia="en-US"/>
        </w:rPr>
        <w:noBreakHyphen/>
        <w:t>30 minučių, paruoštą 10 mg/ml koncentracijos tirpalą atskiedus 125</w:t>
      </w:r>
      <w:r w:rsidRPr="005B33AB">
        <w:rPr>
          <w:snapToGrid w:val="0"/>
          <w:lang w:eastAsia="en-US"/>
        </w:rPr>
        <w:noBreakHyphen/>
        <w:t>250 ml 5 % gliukozės arba 0,9 % natrio chlorido infuziniu tirpalu.</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sidRPr="005B33AB">
        <w:rPr>
          <w:i/>
          <w:snapToGrid w:val="0"/>
          <w:lang w:eastAsia="en-US"/>
        </w:rPr>
        <w:t>Suaugusieji</w:t>
      </w:r>
    </w:p>
    <w:p w:rsidR="00741AB2" w:rsidRPr="005B33AB" w:rsidRDefault="00741AB2" w:rsidP="00741AB2">
      <w:pPr>
        <w:rPr>
          <w:snapToGrid w:val="0"/>
          <w:lang w:eastAsia="en-US"/>
        </w:rPr>
      </w:pPr>
      <w:r w:rsidRPr="005B33AB">
        <w:rPr>
          <w:snapToGrid w:val="0"/>
          <w:lang w:eastAsia="en-US"/>
        </w:rPr>
        <w:t>Jums bus taikoma viena iš išvardytų gydymo schemų.</w:t>
      </w:r>
    </w:p>
    <w:p w:rsidR="00741AB2" w:rsidRPr="005B33AB" w:rsidRDefault="00741AB2" w:rsidP="00741AB2">
      <w:pPr>
        <w:rPr>
          <w:snapToGrid w:val="0"/>
          <w:lang w:eastAsia="en-US"/>
        </w:rPr>
      </w:pPr>
    </w:p>
    <w:p w:rsidR="00741AB2" w:rsidRPr="005B33AB" w:rsidRDefault="00741AB2" w:rsidP="00741AB2">
      <w:pPr>
        <w:ind w:left="567" w:hanging="567"/>
        <w:rPr>
          <w:snapToGrid w:val="0"/>
          <w:lang w:eastAsia="en-US"/>
        </w:rPr>
      </w:pPr>
      <w:r w:rsidRPr="005B33AB">
        <w:rPr>
          <w:snapToGrid w:val="0"/>
          <w:lang w:eastAsia="en-US"/>
        </w:rPr>
        <w:t>-</w:t>
      </w:r>
      <w:r w:rsidRPr="005B33AB">
        <w:rPr>
          <w:snapToGrid w:val="0"/>
          <w:lang w:eastAsia="en-US"/>
        </w:rPr>
        <w:tab/>
        <w:t>10 parų vartojama 2</w:t>
      </w:r>
      <w:r w:rsidRPr="005B33AB">
        <w:rPr>
          <w:snapToGrid w:val="0"/>
          <w:lang w:eastAsia="en-US"/>
        </w:rPr>
        <w:noBreakHyphen/>
        <w:t>4 mg/kg kūno svorio paros dozė. Gydymo kursą galima kartoti kas keturias savaites.</w:t>
      </w:r>
    </w:p>
    <w:p w:rsidR="00741AB2" w:rsidRPr="005B33AB" w:rsidRDefault="00741AB2" w:rsidP="00741AB2">
      <w:pPr>
        <w:ind w:left="567" w:hanging="567"/>
        <w:rPr>
          <w:snapToGrid w:val="0"/>
          <w:lang w:eastAsia="en-US"/>
        </w:rPr>
      </w:pPr>
      <w:r w:rsidRPr="005B33AB">
        <w:rPr>
          <w:snapToGrid w:val="0"/>
          <w:lang w:eastAsia="en-US"/>
        </w:rPr>
        <w:t>-</w:t>
      </w:r>
      <w:r w:rsidRPr="005B33AB">
        <w:rPr>
          <w:snapToGrid w:val="0"/>
          <w:lang w:eastAsia="en-US"/>
        </w:rPr>
        <w:tab/>
        <w:t>Penkias paras vartojama 250 mg/m</w:t>
      </w:r>
      <w:r w:rsidRPr="005B33AB">
        <w:rPr>
          <w:snapToGrid w:val="0"/>
          <w:vertAlign w:val="superscript"/>
          <w:lang w:eastAsia="en-US"/>
        </w:rPr>
        <w:t>2</w:t>
      </w:r>
      <w:r w:rsidRPr="005B33AB">
        <w:rPr>
          <w:snapToGrid w:val="0"/>
          <w:lang w:eastAsia="en-US"/>
        </w:rPr>
        <w:t xml:space="preserve"> kūno paviršiaus ploto paros dozė. Gydymo kursą galima kartoti kas tris savaites.</w:t>
      </w:r>
    </w:p>
    <w:p w:rsidR="00741AB2" w:rsidRPr="005B33AB" w:rsidRDefault="00741AB2" w:rsidP="00741AB2">
      <w:pPr>
        <w:rPr>
          <w:snapToGrid w:val="0"/>
          <w:lang w:eastAsia="en-US"/>
        </w:rPr>
      </w:pPr>
    </w:p>
    <w:p w:rsidR="00741AB2" w:rsidRPr="005B33AB" w:rsidRDefault="00741AB2" w:rsidP="00741AB2">
      <w:pPr>
        <w:rPr>
          <w:snapToGrid w:val="0"/>
          <w:lang w:eastAsia="en-US"/>
        </w:rPr>
      </w:pPr>
      <w:r w:rsidRPr="005B33AB">
        <w:rPr>
          <w:snapToGrid w:val="0"/>
          <w:lang w:eastAsia="en-US"/>
        </w:rPr>
        <w:t>Gydytojas pasakys, kiek ir kaip dažnai turėsite vartoti šį vaistą.</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sidRPr="005B33AB">
        <w:rPr>
          <w:i/>
          <w:snapToGrid w:val="0"/>
          <w:lang w:eastAsia="en-US"/>
        </w:rPr>
        <w:t xml:space="preserve">Senyvi </w:t>
      </w:r>
      <w:r>
        <w:rPr>
          <w:i/>
          <w:snapToGrid w:val="0"/>
          <w:lang w:eastAsia="en-US"/>
        </w:rPr>
        <w:t>pacientai</w:t>
      </w:r>
    </w:p>
    <w:p w:rsidR="00741AB2" w:rsidRPr="005B33AB" w:rsidRDefault="00741AB2" w:rsidP="00741AB2">
      <w:pPr>
        <w:rPr>
          <w:snapToGrid w:val="0"/>
          <w:lang w:eastAsia="en-US"/>
        </w:rPr>
      </w:pPr>
      <w:r w:rsidRPr="005B33AB">
        <w:t>Dozė apskaičiuojama mg/kg kūno svorio arba mg/m</w:t>
      </w:r>
      <w:r w:rsidRPr="005B33AB">
        <w:rPr>
          <w:vertAlign w:val="superscript"/>
        </w:rPr>
        <w:t>2</w:t>
      </w:r>
      <w:r w:rsidRPr="005B33AB">
        <w:t xml:space="preserve"> kūno paviršiaus ploto. </w:t>
      </w:r>
      <w:r w:rsidRPr="005B33AB">
        <w:rPr>
          <w:snapToGrid w:val="0"/>
          <w:lang w:eastAsia="en-US"/>
        </w:rPr>
        <w:t>Dažniausiai galima vartoti suaugusiųjų dozę.</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sidRPr="005B33AB">
        <w:rPr>
          <w:i/>
          <w:snapToGrid w:val="0"/>
          <w:lang w:eastAsia="en-US"/>
        </w:rPr>
        <w:t>Vaikai ir paaugliai</w:t>
      </w:r>
    </w:p>
    <w:p w:rsidR="00741AB2" w:rsidRPr="005B33AB" w:rsidRDefault="00741AB2" w:rsidP="00741AB2">
      <w:r w:rsidRPr="005B33AB">
        <w:t>Dozė vaikams apskaičiuojama mg/kg kūno svorio arba mg/m</w:t>
      </w:r>
      <w:r w:rsidRPr="005B33AB">
        <w:rPr>
          <w:vertAlign w:val="superscript"/>
        </w:rPr>
        <w:t>2</w:t>
      </w:r>
      <w:r w:rsidRPr="005B33AB">
        <w:t xml:space="preserve"> kūno paviršiaus ploto pagal įprastinę suaugusių žmonių dozę.</w:t>
      </w:r>
    </w:p>
    <w:p w:rsidR="00741AB2" w:rsidRPr="005B33AB" w:rsidRDefault="00741AB2" w:rsidP="00741AB2">
      <w:pPr>
        <w:rPr>
          <w:snapToGrid w:val="0"/>
          <w:lang w:eastAsia="en-US"/>
        </w:rPr>
      </w:pPr>
    </w:p>
    <w:p w:rsidR="00741AB2" w:rsidRPr="005B33AB" w:rsidRDefault="00741AB2" w:rsidP="00741AB2">
      <w:pPr>
        <w:rPr>
          <w:i/>
          <w:snapToGrid w:val="0"/>
          <w:lang w:eastAsia="en-US"/>
        </w:rPr>
      </w:pPr>
      <w:r>
        <w:rPr>
          <w:i/>
          <w:snapToGrid w:val="0"/>
          <w:lang w:eastAsia="en-US"/>
        </w:rPr>
        <w:t>Pacientams, kurių k</w:t>
      </w:r>
      <w:r w:rsidRPr="005B33AB">
        <w:rPr>
          <w:i/>
          <w:snapToGrid w:val="0"/>
          <w:lang w:eastAsia="en-US"/>
        </w:rPr>
        <w:t>epenų</w:t>
      </w:r>
      <w:r>
        <w:rPr>
          <w:i/>
          <w:snapToGrid w:val="0"/>
          <w:lang w:eastAsia="en-US"/>
        </w:rPr>
        <w:t xml:space="preserve"> funkcija</w:t>
      </w:r>
      <w:r w:rsidRPr="005B33AB">
        <w:rPr>
          <w:i/>
          <w:snapToGrid w:val="0"/>
          <w:lang w:eastAsia="en-US"/>
        </w:rPr>
        <w:t xml:space="preserve"> ir inkstų funkcij</w:t>
      </w:r>
      <w:r>
        <w:rPr>
          <w:i/>
          <w:snapToGrid w:val="0"/>
          <w:lang w:eastAsia="en-US"/>
        </w:rPr>
        <w:t>a</w:t>
      </w:r>
      <w:r w:rsidRPr="005B33AB">
        <w:rPr>
          <w:i/>
          <w:snapToGrid w:val="0"/>
          <w:lang w:eastAsia="en-US"/>
        </w:rPr>
        <w:t xml:space="preserve"> sutrik</w:t>
      </w:r>
      <w:r>
        <w:rPr>
          <w:i/>
          <w:snapToGrid w:val="0"/>
          <w:lang w:eastAsia="en-US"/>
        </w:rPr>
        <w:t>usi</w:t>
      </w:r>
    </w:p>
    <w:p w:rsidR="00741AB2" w:rsidRPr="005B33AB" w:rsidRDefault="00741AB2" w:rsidP="00741AB2">
      <w:pPr>
        <w:rPr>
          <w:snapToGrid w:val="0"/>
          <w:lang w:eastAsia="en-US"/>
        </w:rPr>
      </w:pPr>
      <w:r w:rsidRPr="005B33AB">
        <w:rPr>
          <w:snapToGrid w:val="0"/>
          <w:lang w:eastAsia="en-US"/>
        </w:rPr>
        <w:t>Jeigu yra sutrikusi kepenų arba inkstų funkcija, gydytojas gali sumažinti dakarbazino dozę.</w:t>
      </w:r>
    </w:p>
    <w:p w:rsidR="00741AB2" w:rsidRPr="005B33AB" w:rsidRDefault="00741AB2" w:rsidP="00741AB2">
      <w:pPr>
        <w:rPr>
          <w:snapToGrid w:val="0"/>
          <w:lang w:eastAsia="en-US"/>
        </w:rPr>
      </w:pPr>
    </w:p>
    <w:p w:rsidR="00741AB2" w:rsidRPr="005B33AB" w:rsidRDefault="00741AB2" w:rsidP="00741AB2">
      <w:pPr>
        <w:rPr>
          <w:snapToGrid w:val="0"/>
          <w:lang w:eastAsia="en-US"/>
        </w:rPr>
      </w:pPr>
    </w:p>
    <w:p w:rsidR="00741AB2" w:rsidRPr="005B33AB" w:rsidRDefault="00741AB2" w:rsidP="00741AB2">
      <w:pPr>
        <w:ind w:left="540" w:hanging="540"/>
        <w:rPr>
          <w:b/>
          <w:szCs w:val="22"/>
        </w:rPr>
      </w:pPr>
      <w:bookmarkStart w:id="2" w:name="_Toc129243142"/>
      <w:bookmarkStart w:id="3" w:name="_Toc129243267"/>
      <w:r w:rsidRPr="005B33AB">
        <w:rPr>
          <w:b/>
          <w:szCs w:val="22"/>
        </w:rPr>
        <w:t>4.</w:t>
      </w:r>
      <w:r w:rsidRPr="005B33AB">
        <w:rPr>
          <w:b/>
          <w:szCs w:val="22"/>
        </w:rPr>
        <w:tab/>
      </w:r>
      <w:r w:rsidRPr="002B39D4">
        <w:rPr>
          <w:b/>
          <w:szCs w:val="22"/>
        </w:rPr>
        <w:t>Galimas šalutinis poveikis</w:t>
      </w:r>
      <w:bookmarkEnd w:id="2"/>
      <w:bookmarkEnd w:id="3"/>
    </w:p>
    <w:p w:rsidR="00741AB2" w:rsidRPr="005B33AB" w:rsidRDefault="00741AB2" w:rsidP="00741AB2">
      <w:pPr>
        <w:rPr>
          <w:szCs w:val="22"/>
        </w:rPr>
      </w:pPr>
    </w:p>
    <w:p w:rsidR="00741AB2" w:rsidRPr="005B33AB" w:rsidRDefault="00741AB2" w:rsidP="00741AB2">
      <w:pPr>
        <w:rPr>
          <w:szCs w:val="22"/>
          <w:lang w:eastAsia="hr-HR"/>
        </w:rPr>
      </w:pPr>
      <w:r w:rsidRPr="002B39D4">
        <w:rPr>
          <w:snapToGrid w:val="0"/>
          <w:lang w:eastAsia="en-US"/>
        </w:rPr>
        <w:t>Šis vaistas, kaip ir visi kiti, gali sukelti šalutinį poveikį, nors jis pasireiškia ne visiems žmonėms.</w:t>
      </w:r>
    </w:p>
    <w:p w:rsidR="00741AB2" w:rsidRPr="005B33AB" w:rsidRDefault="00741AB2" w:rsidP="00741AB2">
      <w:pPr>
        <w:rPr>
          <w:szCs w:val="22"/>
        </w:rPr>
      </w:pPr>
      <w:r w:rsidRPr="005B33AB">
        <w:rPr>
          <w:szCs w:val="22"/>
          <w:lang w:eastAsia="hr-HR"/>
        </w:rPr>
        <w:t xml:space="preserve">Dažniausiai pasireiškia </w:t>
      </w:r>
      <w:r w:rsidRPr="005B33AB">
        <w:rPr>
          <w:noProof/>
          <w:szCs w:val="22"/>
        </w:rPr>
        <w:t xml:space="preserve">virškinimo trakto sutrikimai (įskaitant </w:t>
      </w:r>
      <w:r w:rsidRPr="005B33AB">
        <w:rPr>
          <w:szCs w:val="22"/>
        </w:rPr>
        <w:t>anoreksiją, pykinimą ir vėmimą) ir</w:t>
      </w:r>
      <w:r w:rsidRPr="005B33AB">
        <w:rPr>
          <w:noProof/>
          <w:szCs w:val="22"/>
        </w:rPr>
        <w:t xml:space="preserve"> kraujo ir limfinės sistemos sutrikimai, tokie kaip</w:t>
      </w:r>
      <w:r w:rsidRPr="005B33AB">
        <w:rPr>
          <w:szCs w:val="22"/>
        </w:rPr>
        <w:t xml:space="preserve"> anemija, leukopenija, trombocitopenija. Pastarieji yra priklausomi nuo dozės ir gali pasireikšti vėliau, dažniausiai tik po 3-4 savaičių.</w:t>
      </w:r>
    </w:p>
    <w:p w:rsidR="00741AB2" w:rsidRPr="005B33AB" w:rsidRDefault="00741AB2" w:rsidP="00741AB2">
      <w:pPr>
        <w:autoSpaceDE w:val="0"/>
        <w:autoSpaceDN w:val="0"/>
        <w:adjustRightInd w:val="0"/>
        <w:jc w:val="both"/>
        <w:rPr>
          <w:szCs w:val="22"/>
          <w:lang w:eastAsia="hr-HR"/>
        </w:rPr>
      </w:pPr>
    </w:p>
    <w:p w:rsidR="00741AB2" w:rsidRPr="005B33AB" w:rsidRDefault="00741AB2" w:rsidP="00741AB2">
      <w:pPr>
        <w:rPr>
          <w:bCs/>
          <w:szCs w:val="22"/>
        </w:rPr>
      </w:pPr>
      <w:r w:rsidRPr="005F1820">
        <w:rPr>
          <w:bCs/>
          <w:szCs w:val="22"/>
        </w:rPr>
        <w:t>Nepageidaujamo poveikio dažnis apibūdinamas taip:</w:t>
      </w:r>
      <w:r w:rsidRPr="005B33AB">
        <w:rPr>
          <w:bCs/>
          <w:szCs w:val="22"/>
        </w:rPr>
        <w:t xml:space="preserve"> labai dažn</w:t>
      </w:r>
      <w:r>
        <w:rPr>
          <w:bCs/>
          <w:szCs w:val="22"/>
        </w:rPr>
        <w:t>as</w:t>
      </w:r>
      <w:r w:rsidRPr="005B33AB">
        <w:rPr>
          <w:bCs/>
          <w:szCs w:val="22"/>
        </w:rPr>
        <w:t xml:space="preserve"> (≥ 1/10), dažn</w:t>
      </w:r>
      <w:r>
        <w:rPr>
          <w:bCs/>
          <w:szCs w:val="22"/>
        </w:rPr>
        <w:t>as</w:t>
      </w:r>
      <w:r w:rsidRPr="005B33AB">
        <w:rPr>
          <w:bCs/>
          <w:szCs w:val="22"/>
        </w:rPr>
        <w:t xml:space="preserve"> (nuo ≥ 1/100, iki &lt; 1/10), nedažn</w:t>
      </w:r>
      <w:r>
        <w:rPr>
          <w:bCs/>
          <w:szCs w:val="22"/>
        </w:rPr>
        <w:t>as</w:t>
      </w:r>
      <w:r w:rsidRPr="005B33AB">
        <w:rPr>
          <w:bCs/>
          <w:szCs w:val="22"/>
        </w:rPr>
        <w:t xml:space="preserve"> (nuo ≥ 1/1000, iki &lt; 1/100), ret</w:t>
      </w:r>
      <w:r>
        <w:rPr>
          <w:bCs/>
          <w:szCs w:val="22"/>
        </w:rPr>
        <w:t>as</w:t>
      </w:r>
      <w:r w:rsidRPr="005B33AB">
        <w:rPr>
          <w:bCs/>
          <w:szCs w:val="22"/>
        </w:rPr>
        <w:t xml:space="preserve"> (nuo ≥ 1/10000, iki &lt; 1/1000), labai ret</w:t>
      </w:r>
      <w:r>
        <w:rPr>
          <w:bCs/>
          <w:szCs w:val="22"/>
        </w:rPr>
        <w:t>as</w:t>
      </w:r>
      <w:r w:rsidRPr="005B33AB">
        <w:rPr>
          <w:bCs/>
          <w:szCs w:val="22"/>
        </w:rPr>
        <w:t xml:space="preserve"> (nuo ≥ 1/10000)</w:t>
      </w:r>
      <w:r>
        <w:rPr>
          <w:szCs w:val="22"/>
        </w:rPr>
        <w:t xml:space="preserve"> ir</w:t>
      </w:r>
      <w:r w:rsidRPr="005B33AB">
        <w:rPr>
          <w:szCs w:val="22"/>
        </w:rPr>
        <w:t xml:space="preserve"> nežinomas (negali būti </w:t>
      </w:r>
      <w:r>
        <w:rPr>
          <w:szCs w:val="22"/>
        </w:rPr>
        <w:t>apskaičiuotas</w:t>
      </w:r>
      <w:r w:rsidRPr="005B33AB">
        <w:rPr>
          <w:szCs w:val="22"/>
        </w:rPr>
        <w:t xml:space="preserve"> pagal turimus duomenis)</w:t>
      </w:r>
      <w:r w:rsidRPr="005B33AB">
        <w:rPr>
          <w:bCs/>
          <w:szCs w:val="22"/>
        </w:rPr>
        <w:t>.</w:t>
      </w:r>
    </w:p>
    <w:p w:rsidR="00741AB2" w:rsidRPr="005B33AB" w:rsidRDefault="00741AB2" w:rsidP="00741AB2">
      <w:pPr>
        <w:rPr>
          <w:rFonts w:ascii="Geneva" w:hAnsi="Geneva"/>
          <w:bCs/>
          <w:szCs w:val="22"/>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633"/>
        <w:gridCol w:w="4666"/>
      </w:tblGrid>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rFonts w:eastAsia="Arial Unicode MS"/>
                <w:szCs w:val="22"/>
              </w:rPr>
            </w:pPr>
            <w:r w:rsidRPr="005B33AB">
              <w:rPr>
                <w:noProof/>
                <w:szCs w:val="22"/>
              </w:rPr>
              <w:t>Kraujo ir limfinės sistemos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Dažni</w:t>
            </w:r>
          </w:p>
          <w:p w:rsidR="00741AB2" w:rsidRPr="005B33AB" w:rsidRDefault="00741AB2" w:rsidP="001378C2">
            <w:pPr>
              <w:rPr>
                <w:szCs w:val="22"/>
              </w:rPr>
            </w:pPr>
            <w:r w:rsidRPr="005B33AB">
              <w:rPr>
                <w:szCs w:val="22"/>
              </w:rPr>
              <w:t xml:space="preserve">Anemija, leukopenija, trombocitopenija. </w:t>
            </w:r>
          </w:p>
          <w:p w:rsidR="00741AB2" w:rsidRPr="005B33AB" w:rsidRDefault="00741AB2" w:rsidP="001378C2">
            <w:pPr>
              <w:rPr>
                <w:szCs w:val="22"/>
              </w:rPr>
            </w:pPr>
            <w:r w:rsidRPr="005B33AB">
              <w:rPr>
                <w:szCs w:val="22"/>
                <w:u w:val="single"/>
              </w:rPr>
              <w:t>Reti</w:t>
            </w:r>
          </w:p>
          <w:p w:rsidR="00741AB2" w:rsidRPr="005B33AB" w:rsidRDefault="00741AB2" w:rsidP="001378C2">
            <w:pPr>
              <w:rPr>
                <w:szCs w:val="24"/>
                <w:lang w:eastAsia="hr-HR"/>
              </w:rPr>
            </w:pPr>
            <w:r w:rsidRPr="005B33AB">
              <w:rPr>
                <w:szCs w:val="24"/>
                <w:lang w:eastAsia="hr-HR"/>
              </w:rPr>
              <w:t>Pancitopenija, agranulocitozė.</w:t>
            </w:r>
          </w:p>
          <w:p w:rsidR="00741AB2" w:rsidRPr="005B33AB" w:rsidRDefault="00741AB2" w:rsidP="001378C2">
            <w:pPr>
              <w:rPr>
                <w:szCs w:val="22"/>
                <w:lang w:eastAsia="hr-HR"/>
              </w:rPr>
            </w:pPr>
          </w:p>
          <w:p w:rsidR="00741AB2" w:rsidRPr="005B33AB" w:rsidRDefault="00741AB2" w:rsidP="001378C2">
            <w:pPr>
              <w:rPr>
                <w:szCs w:val="22"/>
              </w:rPr>
            </w:pPr>
            <w:r w:rsidRPr="005B33AB">
              <w:rPr>
                <w:szCs w:val="22"/>
                <w:lang w:eastAsia="hr-HR"/>
              </w:rPr>
              <w:t>Leukopenijos klinikinė raiška gali būti karščiavimas, infekcijos ir sepsis.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noProof/>
                <w:szCs w:val="22"/>
              </w:rPr>
              <w:t>Imuninės sistemos sutrikimai</w:t>
            </w:r>
          </w:p>
          <w:p w:rsidR="00741AB2" w:rsidRPr="005B33AB" w:rsidRDefault="00741AB2" w:rsidP="001378C2">
            <w:pPr>
              <w:rPr>
                <w:szCs w:val="22"/>
              </w:rPr>
            </w:pP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Reti</w:t>
            </w:r>
          </w:p>
          <w:p w:rsidR="00741AB2" w:rsidRPr="005B33AB" w:rsidRDefault="00741AB2" w:rsidP="001378C2">
            <w:pPr>
              <w:rPr>
                <w:szCs w:val="22"/>
              </w:rPr>
            </w:pPr>
            <w:r w:rsidRPr="005B33AB">
              <w:rPr>
                <w:szCs w:val="22"/>
              </w:rPr>
              <w:t>Anafilaksija, padidėjusio jautrumo reakcijos.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noProof/>
                <w:szCs w:val="22"/>
              </w:rPr>
            </w:pPr>
            <w:r w:rsidRPr="005B33AB">
              <w:rPr>
                <w:noProof/>
                <w:szCs w:val="22"/>
              </w:rPr>
              <w:t>Nervų sistemos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Reti</w:t>
            </w:r>
          </w:p>
          <w:p w:rsidR="00741AB2" w:rsidRPr="005B33AB" w:rsidRDefault="00741AB2" w:rsidP="001378C2">
            <w:pPr>
              <w:rPr>
                <w:szCs w:val="22"/>
                <w:u w:val="single"/>
              </w:rPr>
            </w:pPr>
            <w:r w:rsidRPr="005B33AB">
              <w:rPr>
                <w:szCs w:val="22"/>
              </w:rPr>
              <w:t>Galvos skausmas, sumišimas, patologinis mieguistumas, traukuliai, veido parestezija.</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noProof/>
                <w:szCs w:val="22"/>
              </w:rPr>
            </w:pPr>
            <w:r w:rsidRPr="005B33AB">
              <w:rPr>
                <w:noProof/>
                <w:szCs w:val="22"/>
              </w:rPr>
              <w:t>Akių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Reti</w:t>
            </w:r>
          </w:p>
          <w:p w:rsidR="00741AB2" w:rsidRPr="005B33AB" w:rsidRDefault="00741AB2" w:rsidP="001378C2">
            <w:pPr>
              <w:rPr>
                <w:szCs w:val="22"/>
                <w:u w:val="single"/>
              </w:rPr>
            </w:pPr>
            <w:r w:rsidRPr="005B33AB">
              <w:rPr>
                <w:szCs w:val="22"/>
              </w:rPr>
              <w:t>Matymas lyg per miglą.</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noProof/>
                <w:szCs w:val="22"/>
              </w:rPr>
            </w:pPr>
            <w:r w:rsidRPr="005B33AB">
              <w:rPr>
                <w:noProof/>
                <w:szCs w:val="22"/>
              </w:rPr>
              <w:t>Kraujagyslių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Reti</w:t>
            </w:r>
          </w:p>
          <w:p w:rsidR="00741AB2" w:rsidRPr="005B33AB" w:rsidRDefault="00741AB2" w:rsidP="001378C2">
            <w:pPr>
              <w:rPr>
                <w:szCs w:val="22"/>
                <w:u w:val="single"/>
              </w:rPr>
            </w:pPr>
            <w:r w:rsidRPr="005B33AB">
              <w:rPr>
                <w:szCs w:val="22"/>
              </w:rPr>
              <w:t>Veido paraudimas.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noProof/>
                <w:szCs w:val="22"/>
              </w:rPr>
            </w:pPr>
            <w:r w:rsidRPr="005B33AB">
              <w:rPr>
                <w:noProof/>
                <w:szCs w:val="22"/>
              </w:rPr>
              <w:lastRenderedPageBreak/>
              <w:t>Virškinimo trakto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Dažni</w:t>
            </w:r>
          </w:p>
          <w:p w:rsidR="00741AB2" w:rsidRPr="005B33AB" w:rsidRDefault="00741AB2" w:rsidP="001378C2">
            <w:pPr>
              <w:rPr>
                <w:szCs w:val="22"/>
              </w:rPr>
            </w:pPr>
            <w:r w:rsidRPr="005B33AB">
              <w:rPr>
                <w:szCs w:val="22"/>
              </w:rPr>
              <w:t>Anoreksija, pykinimas, vėmimas.</w:t>
            </w:r>
          </w:p>
          <w:p w:rsidR="00741AB2" w:rsidRPr="005B33AB" w:rsidRDefault="00741AB2" w:rsidP="001378C2">
            <w:pPr>
              <w:rPr>
                <w:szCs w:val="22"/>
              </w:rPr>
            </w:pPr>
            <w:r w:rsidRPr="005B33AB">
              <w:rPr>
                <w:szCs w:val="22"/>
                <w:u w:val="single"/>
              </w:rPr>
              <w:t>Reti</w:t>
            </w:r>
          </w:p>
          <w:p w:rsidR="00741AB2" w:rsidRPr="005B33AB" w:rsidRDefault="00741AB2" w:rsidP="001378C2">
            <w:pPr>
              <w:rPr>
                <w:szCs w:val="22"/>
                <w:u w:val="single"/>
              </w:rPr>
            </w:pPr>
            <w:r w:rsidRPr="005B33AB">
              <w:rPr>
                <w:szCs w:val="22"/>
              </w:rPr>
              <w:t>Viduriavimas.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noProof/>
                <w:szCs w:val="22"/>
              </w:rPr>
              <w:t>Kepenų, tulžies pūslės ir latakų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Nedažni</w:t>
            </w:r>
          </w:p>
          <w:p w:rsidR="00741AB2" w:rsidRPr="005B33AB" w:rsidRDefault="00741AB2" w:rsidP="001378C2">
            <w:pPr>
              <w:pStyle w:val="PSURParagraph2"/>
              <w:tabs>
                <w:tab w:val="clear" w:pos="1559"/>
                <w:tab w:val="left" w:pos="0"/>
              </w:tabs>
              <w:ind w:left="0" w:firstLine="0"/>
              <w:jc w:val="left"/>
              <w:rPr>
                <w:sz w:val="22"/>
                <w:szCs w:val="22"/>
                <w:lang w:val="lt-LT"/>
              </w:rPr>
            </w:pPr>
            <w:r w:rsidRPr="005B33AB">
              <w:rPr>
                <w:sz w:val="22"/>
                <w:szCs w:val="22"/>
                <w:lang w:val="lt-LT"/>
              </w:rPr>
              <w:t>Kepenų fermentų suaktyvėjimas, kepenų nekrozė dėl kepenų venų okliuzinės ligos (VOL).</w:t>
            </w:r>
          </w:p>
          <w:p w:rsidR="00741AB2" w:rsidRPr="005B33AB" w:rsidRDefault="00741AB2" w:rsidP="001378C2">
            <w:pPr>
              <w:rPr>
                <w:szCs w:val="22"/>
              </w:rPr>
            </w:pP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noProof/>
                <w:szCs w:val="22"/>
              </w:rPr>
              <w:t>Odos ir poodinio audinio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Nedažni</w:t>
            </w:r>
          </w:p>
          <w:p w:rsidR="00741AB2" w:rsidRPr="005B33AB" w:rsidRDefault="00741AB2" w:rsidP="001378C2">
            <w:pPr>
              <w:rPr>
                <w:szCs w:val="22"/>
              </w:rPr>
            </w:pPr>
            <w:r w:rsidRPr="005B33AB">
              <w:rPr>
                <w:szCs w:val="22"/>
              </w:rPr>
              <w:t>Alopecija, padidėjusi pigmentacija, padidėjęs jautrumas šviesai.</w:t>
            </w:r>
          </w:p>
          <w:p w:rsidR="00741AB2" w:rsidRPr="005B33AB" w:rsidRDefault="00741AB2" w:rsidP="001378C2">
            <w:pPr>
              <w:rPr>
                <w:szCs w:val="22"/>
                <w:u w:val="single"/>
              </w:rPr>
            </w:pPr>
            <w:r w:rsidRPr="005B33AB">
              <w:rPr>
                <w:szCs w:val="22"/>
                <w:u w:val="single"/>
              </w:rPr>
              <w:t>Reti</w:t>
            </w:r>
          </w:p>
          <w:p w:rsidR="00741AB2" w:rsidRPr="005B33AB" w:rsidRDefault="00741AB2" w:rsidP="001378C2">
            <w:pPr>
              <w:rPr>
                <w:szCs w:val="22"/>
              </w:rPr>
            </w:pPr>
            <w:r w:rsidRPr="005B33AB">
              <w:rPr>
                <w:szCs w:val="22"/>
              </w:rPr>
              <w:t>Paraudimas, dilgėlinė, makulopapulinis išbėrimas.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noProof/>
                <w:szCs w:val="22"/>
              </w:rPr>
              <w:t>Inkstų ir šlapimo takų sutrikimai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u w:val="single"/>
              </w:rPr>
            </w:pPr>
            <w:r w:rsidRPr="005B33AB">
              <w:rPr>
                <w:szCs w:val="22"/>
                <w:u w:val="single"/>
              </w:rPr>
              <w:t>Reti</w:t>
            </w:r>
          </w:p>
          <w:p w:rsidR="00741AB2" w:rsidRPr="005B33AB" w:rsidRDefault="00741AB2" w:rsidP="001378C2">
            <w:pPr>
              <w:rPr>
                <w:szCs w:val="22"/>
              </w:rPr>
            </w:pPr>
            <w:r w:rsidRPr="005B33AB">
              <w:rPr>
                <w:szCs w:val="22"/>
              </w:rPr>
              <w:t>Inkstų funkcijos sutrikimas.</w:t>
            </w:r>
          </w:p>
        </w:tc>
      </w:tr>
      <w:tr w:rsidR="00741AB2" w:rsidRPr="005B33AB" w:rsidTr="001378C2">
        <w:trPr>
          <w:tblCellSpacing w:w="0" w:type="dxa"/>
          <w:jc w:val="center"/>
        </w:trPr>
        <w:tc>
          <w:tcPr>
            <w:tcW w:w="4633"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noProof/>
                <w:szCs w:val="22"/>
              </w:rPr>
              <w:t>Bendrieji sutrikimai ir vartojimo vietos pažeidimai</w:t>
            </w:r>
          </w:p>
        </w:tc>
        <w:tc>
          <w:tcPr>
            <w:tcW w:w="4666" w:type="dxa"/>
            <w:tcBorders>
              <w:top w:val="outset" w:sz="6" w:space="0" w:color="auto"/>
              <w:left w:val="outset" w:sz="6" w:space="0" w:color="auto"/>
              <w:bottom w:val="outset" w:sz="6" w:space="0" w:color="auto"/>
              <w:right w:val="outset" w:sz="6" w:space="0" w:color="auto"/>
            </w:tcBorders>
          </w:tcPr>
          <w:p w:rsidR="00741AB2" w:rsidRPr="005B33AB" w:rsidRDefault="00741AB2" w:rsidP="001378C2">
            <w:pPr>
              <w:rPr>
                <w:szCs w:val="22"/>
              </w:rPr>
            </w:pPr>
            <w:r w:rsidRPr="005B33AB">
              <w:rPr>
                <w:szCs w:val="22"/>
                <w:u w:val="single"/>
              </w:rPr>
              <w:t>Dažni</w:t>
            </w:r>
          </w:p>
          <w:p w:rsidR="00741AB2" w:rsidRPr="005B33AB" w:rsidRDefault="00741AB2" w:rsidP="001378C2">
            <w:pPr>
              <w:rPr>
                <w:szCs w:val="22"/>
              </w:rPr>
            </w:pPr>
            <w:r w:rsidRPr="005B33AB">
              <w:rPr>
                <w:szCs w:val="22"/>
              </w:rPr>
              <w:t>Į gripą panašus susirgimas (pasireiškiantis temperatūros  padidėjimu, raumenų skausmu ir bendru nuovargiu).</w:t>
            </w:r>
          </w:p>
          <w:p w:rsidR="00741AB2" w:rsidRPr="005B33AB" w:rsidRDefault="00741AB2" w:rsidP="001378C2">
            <w:pPr>
              <w:rPr>
                <w:szCs w:val="22"/>
              </w:rPr>
            </w:pPr>
            <w:r w:rsidRPr="005B33AB">
              <w:rPr>
                <w:szCs w:val="22"/>
                <w:u w:val="single"/>
              </w:rPr>
              <w:t>Reti</w:t>
            </w:r>
          </w:p>
          <w:p w:rsidR="00741AB2" w:rsidRPr="005B33AB" w:rsidRDefault="00741AB2" w:rsidP="001378C2">
            <w:pPr>
              <w:rPr>
                <w:szCs w:val="22"/>
              </w:rPr>
            </w:pPr>
            <w:r w:rsidRPr="005B33AB">
              <w:rPr>
                <w:szCs w:val="22"/>
              </w:rPr>
              <w:t>Dirginimas vaistinio preparato švirkštimo vietoje.</w:t>
            </w:r>
          </w:p>
        </w:tc>
      </w:tr>
    </w:tbl>
    <w:p w:rsidR="00741AB2" w:rsidRPr="005B33AB" w:rsidRDefault="00741AB2" w:rsidP="00741AB2">
      <w:pPr>
        <w:pStyle w:val="Pagrindinistekstas"/>
        <w:spacing w:after="0"/>
      </w:pPr>
    </w:p>
    <w:p w:rsidR="00741AB2" w:rsidRDefault="00741AB2" w:rsidP="00741AB2">
      <w:pPr>
        <w:rPr>
          <w:szCs w:val="22"/>
        </w:rPr>
      </w:pPr>
    </w:p>
    <w:p w:rsidR="00741AB2" w:rsidRDefault="00741AB2" w:rsidP="00741AB2">
      <w:pPr>
        <w:rPr>
          <w:b/>
          <w:szCs w:val="22"/>
        </w:rPr>
      </w:pPr>
      <w:r w:rsidRPr="00E0572B">
        <w:rPr>
          <w:b/>
          <w:szCs w:val="22"/>
        </w:rPr>
        <w:t>Pranešimas apie šalutinį poveikį</w:t>
      </w:r>
    </w:p>
    <w:p w:rsidR="00741AB2" w:rsidRPr="005B33AB" w:rsidRDefault="00741AB2" w:rsidP="00741AB2">
      <w:pPr>
        <w:rPr>
          <w:szCs w:val="22"/>
        </w:rPr>
      </w:pPr>
      <w:r w:rsidRPr="000E4241">
        <w:rPr>
          <w:szCs w:val="22"/>
        </w:rPr>
        <w:t>Jeigu pasireiškė šalutinis poveikis, įskaitant šiame l</w:t>
      </w:r>
      <w:r>
        <w:rPr>
          <w:szCs w:val="22"/>
        </w:rPr>
        <w:t>apelyje nenurodytą, pasakykite gydytojui, vaistininkui arba slaugytojui</w:t>
      </w:r>
      <w:r w:rsidRPr="000E4241">
        <w:rPr>
          <w:szCs w:val="22"/>
        </w:rPr>
        <w:t>.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741AB2" w:rsidRPr="005B33AB" w:rsidRDefault="00741AB2" w:rsidP="00741AB2">
      <w:pPr>
        <w:pStyle w:val="Pagrindinistekstas"/>
        <w:spacing w:after="0"/>
      </w:pPr>
    </w:p>
    <w:p w:rsidR="00741AB2" w:rsidRPr="005B33AB" w:rsidRDefault="00741AB2" w:rsidP="00741AB2">
      <w:pPr>
        <w:pStyle w:val="Pagrindinistekstas"/>
        <w:spacing w:after="0"/>
      </w:pPr>
    </w:p>
    <w:p w:rsidR="00741AB2" w:rsidRPr="005B33AB" w:rsidRDefault="00741AB2" w:rsidP="00741AB2">
      <w:pPr>
        <w:ind w:left="540" w:hanging="540"/>
      </w:pPr>
      <w:r w:rsidRPr="005B33AB">
        <w:rPr>
          <w:b/>
        </w:rPr>
        <w:t>5.</w:t>
      </w:r>
      <w:r w:rsidRPr="005B33AB">
        <w:rPr>
          <w:b/>
        </w:rPr>
        <w:tab/>
      </w:r>
      <w:r w:rsidRPr="00DE0551">
        <w:rPr>
          <w:b/>
        </w:rPr>
        <w:t>Kaip laikyti</w:t>
      </w:r>
      <w:r w:rsidRPr="00DE0551" w:rsidDel="00DE0551">
        <w:rPr>
          <w:b/>
        </w:rPr>
        <w:t xml:space="preserve"> </w:t>
      </w:r>
      <w:r w:rsidRPr="00DE0551">
        <w:rPr>
          <w:b/>
        </w:rPr>
        <w:t>Dacarbazine Teva</w:t>
      </w:r>
    </w:p>
    <w:p w:rsidR="00741AB2" w:rsidRDefault="00741AB2" w:rsidP="00741AB2">
      <w:pPr>
        <w:pStyle w:val="Pagrindinistekstas"/>
        <w:spacing w:after="0"/>
      </w:pPr>
    </w:p>
    <w:p w:rsidR="00741AB2" w:rsidRPr="005B33AB" w:rsidRDefault="00741AB2" w:rsidP="00741AB2">
      <w:pPr>
        <w:pStyle w:val="Pagrindinistekstas"/>
        <w:spacing w:after="0"/>
      </w:pPr>
      <w:r w:rsidRPr="005B33AB">
        <w:t xml:space="preserve">Jums nereikia rūpintis, kaip saugoti šį vaistą. Jis bus pristatytas paruoštas, kad būtų iškart suvartotas. </w:t>
      </w:r>
      <w:r>
        <w:t>Leidžiant</w:t>
      </w:r>
      <w:r w:rsidRPr="005B33AB">
        <w:t xml:space="preserve"> vaistą į veną, švirkštimo ar infuzavimo sistemą reikia saugoti nuo šviesos.</w:t>
      </w:r>
    </w:p>
    <w:p w:rsidR="00741AB2" w:rsidRPr="005B33AB" w:rsidRDefault="00741AB2" w:rsidP="00741AB2">
      <w:pPr>
        <w:pStyle w:val="Pagrindinistekstas"/>
        <w:spacing w:after="0"/>
      </w:pPr>
    </w:p>
    <w:p w:rsidR="00741AB2" w:rsidRPr="005B33AB" w:rsidRDefault="00741AB2" w:rsidP="00741AB2">
      <w:pPr>
        <w:pStyle w:val="Pagrindinistekstas"/>
        <w:spacing w:after="0"/>
      </w:pPr>
      <w:r w:rsidRPr="005B33AB">
        <w:t>Gydytojas, slaugytoja</w:t>
      </w:r>
      <w:r>
        <w:t>s</w:t>
      </w:r>
      <w:r w:rsidRPr="005B33AB">
        <w:t xml:space="preserve"> arba vaistininkas užtikrins, kad negautumėte vaisto, kurio tinkamumo laikas pasibaigęs.</w:t>
      </w:r>
    </w:p>
    <w:p w:rsidR="00741AB2" w:rsidRPr="005B33AB" w:rsidRDefault="00741AB2" w:rsidP="00741AB2">
      <w:pPr>
        <w:pStyle w:val="Pagrindinistekstas"/>
        <w:spacing w:after="0"/>
      </w:pPr>
    </w:p>
    <w:p w:rsidR="00741AB2" w:rsidRPr="005B33AB" w:rsidRDefault="00741AB2" w:rsidP="00741AB2">
      <w:pPr>
        <w:pStyle w:val="Pagrindinistekstas"/>
        <w:spacing w:after="0"/>
      </w:pPr>
      <w:r w:rsidRPr="005B33AB">
        <w:t>Gydytojas, slaugytoja</w:t>
      </w:r>
      <w:r>
        <w:t>s</w:t>
      </w:r>
      <w:r w:rsidRPr="005B33AB">
        <w:t xml:space="preserve"> arba vaistininkas turi užtikrinti, kad Dacarbazine Teva </w:t>
      </w:r>
      <w:r>
        <w:t>flakonai</w:t>
      </w:r>
      <w:r w:rsidRPr="005B33AB">
        <w:t xml:space="preserve"> būtų laikomi</w:t>
      </w:r>
      <w:r>
        <w:t xml:space="preserve"> išorinėje dėžutėje</w:t>
      </w:r>
      <w:r w:rsidRPr="005B33AB">
        <w:t xml:space="preserve">, kad </w:t>
      </w:r>
      <w:r>
        <w:t>vaistas</w:t>
      </w:r>
      <w:r w:rsidRPr="005B33AB">
        <w:t xml:space="preserve"> būtų apsaugotas nuo šviesos ir laikomas ne aukštesnėje kaip 25 </w:t>
      </w:r>
      <w:r w:rsidRPr="005B33AB">
        <w:sym w:font="Symbol" w:char="F0B0"/>
      </w:r>
      <w:r w:rsidRPr="005B33AB">
        <w:t xml:space="preserve">C temperatūroje. Visi </w:t>
      </w:r>
      <w:r>
        <w:t>flakonai</w:t>
      </w:r>
      <w:r w:rsidRPr="005B33AB">
        <w:t>, ant kurių etiketės nurodytas tinkamumo laikas pasibaigęs, turi būti grąžinti į vaistinę sunaikinimui.</w:t>
      </w:r>
    </w:p>
    <w:p w:rsidR="00741AB2" w:rsidRPr="005B33AB" w:rsidRDefault="00741AB2" w:rsidP="00741AB2">
      <w:pPr>
        <w:pStyle w:val="Pagrindinistekstas"/>
        <w:spacing w:after="0"/>
      </w:pPr>
    </w:p>
    <w:p w:rsidR="00741AB2" w:rsidRPr="005B33AB" w:rsidRDefault="00741AB2" w:rsidP="00741AB2">
      <w:pPr>
        <w:pStyle w:val="Pagrindinistekstas"/>
        <w:spacing w:after="0"/>
        <w:outlineLvl w:val="0"/>
      </w:pPr>
      <w:r w:rsidRPr="005B33AB">
        <w:t>Gydytojas, slaugytoja</w:t>
      </w:r>
      <w:r>
        <w:t>s</w:t>
      </w:r>
      <w:r w:rsidRPr="005B33AB">
        <w:t xml:space="preserve"> arba vaistininkas turi užtikrinti, kad Dacarbazine Teva  būtų laikom</w:t>
      </w:r>
      <w:r>
        <w:t>as</w:t>
      </w:r>
      <w:r w:rsidRPr="005B33AB">
        <w:t xml:space="preserve"> vaikams nepastebimoje </w:t>
      </w:r>
      <w:r>
        <w:t xml:space="preserve">ir </w:t>
      </w:r>
      <w:r w:rsidRPr="00027DA6">
        <w:t>nepasiekiamoje</w:t>
      </w:r>
      <w:r>
        <w:t xml:space="preserve"> </w:t>
      </w:r>
      <w:r w:rsidRPr="005B33AB">
        <w:t>vietoje.</w:t>
      </w:r>
    </w:p>
    <w:p w:rsidR="00741AB2" w:rsidRPr="005B33AB" w:rsidRDefault="00741AB2" w:rsidP="00741AB2">
      <w:pPr>
        <w:pStyle w:val="Pagrindinistekstas"/>
        <w:spacing w:after="0"/>
        <w:outlineLvl w:val="0"/>
      </w:pPr>
    </w:p>
    <w:p w:rsidR="00741AB2" w:rsidRPr="005B33AB" w:rsidRDefault="00741AB2" w:rsidP="00741AB2">
      <w:pPr>
        <w:pStyle w:val="Pagrindinistekstas"/>
        <w:spacing w:after="0"/>
      </w:pPr>
      <w:r>
        <w:t xml:space="preserve">Iš </w:t>
      </w:r>
      <w:r w:rsidRPr="005B33AB">
        <w:t xml:space="preserve">Dacarbazine Teva </w:t>
      </w:r>
      <w:r>
        <w:t>paruoštas tirpalas a</w:t>
      </w:r>
      <w:r w:rsidRPr="005B33AB">
        <w:t xml:space="preserve"> ar atskie</w:t>
      </w:r>
      <w:r>
        <w:t>stas</w:t>
      </w:r>
      <w:r w:rsidRPr="005B33AB">
        <w:t xml:space="preserve"> 0,9 % natrio chlorido arba 5 % gliukozės infuziniu tirpalu ir apsaugot</w:t>
      </w:r>
      <w:r>
        <w:t>as</w:t>
      </w:r>
      <w:r w:rsidRPr="005B33AB">
        <w:t xml:space="preserve"> nuo šviesos gali būti laikomi ne ilgiau kaip 6 valandas ne aukštesnėje kaip 25 </w:t>
      </w:r>
      <w:r w:rsidRPr="005B33AB">
        <w:sym w:font="Symbol" w:char="F0B0"/>
      </w:r>
      <w:r w:rsidRPr="005B33AB">
        <w:t xml:space="preserve">C </w:t>
      </w:r>
      <w:r w:rsidRPr="005B33AB">
        <w:lastRenderedPageBreak/>
        <w:t>temperatūroje arba ne ilgiau kaip 24 valandas šaldytuve (2</w:t>
      </w:r>
      <w:r w:rsidRPr="005B33AB">
        <w:noBreakHyphen/>
        <w:t xml:space="preserve">8 </w:t>
      </w:r>
      <w:r w:rsidRPr="005B33AB">
        <w:sym w:font="Symbol" w:char="F0B0"/>
      </w:r>
      <w:r w:rsidRPr="005B33AB">
        <w:t>C). Mikrobiologiniu požiūriu paruoštą tirpalą reikia suvartoti</w:t>
      </w:r>
      <w:r w:rsidRPr="005B33AB">
        <w:rPr>
          <w:color w:val="FF0000"/>
        </w:rPr>
        <w:t xml:space="preserve"> </w:t>
      </w:r>
      <w:r w:rsidRPr="005B33AB">
        <w:t>iš karto. Atsakomybė už kitokią laikymo trukmę ir sąlygas laikymo metu tenka vartotojui.</w:t>
      </w:r>
    </w:p>
    <w:p w:rsidR="00741AB2" w:rsidRPr="005B33AB" w:rsidRDefault="00741AB2" w:rsidP="00741AB2">
      <w:pPr>
        <w:pStyle w:val="Pagrindinistekstas"/>
        <w:spacing w:after="0"/>
      </w:pPr>
    </w:p>
    <w:p w:rsidR="00741AB2" w:rsidRPr="005B33AB" w:rsidRDefault="00741AB2" w:rsidP="00741AB2">
      <w:pPr>
        <w:pStyle w:val="Pagrindinistekstas"/>
        <w:spacing w:after="0"/>
      </w:pPr>
      <w:r w:rsidRPr="005B33AB">
        <w:t>Gydytojas, slaugytoja arba vaistininkas užtikrins, kad šios laikymo sąlygos būtų vykdomos.</w:t>
      </w:r>
    </w:p>
    <w:p w:rsidR="00741AB2" w:rsidRPr="005B33AB" w:rsidRDefault="00741AB2" w:rsidP="00741AB2">
      <w:pPr>
        <w:pStyle w:val="Pagrindinistekstas"/>
        <w:spacing w:after="0"/>
      </w:pPr>
    </w:p>
    <w:p w:rsidR="00741AB2" w:rsidRPr="005B33AB" w:rsidRDefault="00741AB2" w:rsidP="00741AB2">
      <w:pPr>
        <w:pStyle w:val="Pagrindinistekstas"/>
        <w:spacing w:after="0"/>
      </w:pPr>
    </w:p>
    <w:p w:rsidR="00741AB2" w:rsidRPr="005B33AB" w:rsidRDefault="00741AB2" w:rsidP="00741AB2">
      <w:pPr>
        <w:ind w:left="540" w:hanging="540"/>
        <w:rPr>
          <w:b/>
        </w:rPr>
      </w:pPr>
      <w:r w:rsidRPr="005B33AB">
        <w:rPr>
          <w:b/>
        </w:rPr>
        <w:t>6.</w:t>
      </w:r>
      <w:r w:rsidRPr="005B33AB">
        <w:rPr>
          <w:b/>
        </w:rPr>
        <w:tab/>
      </w:r>
      <w:r w:rsidRPr="00DD09D7">
        <w:rPr>
          <w:b/>
        </w:rPr>
        <w:t>Pakuotės turinys ir kita informacija</w:t>
      </w:r>
    </w:p>
    <w:p w:rsidR="00741AB2" w:rsidRPr="005B33AB" w:rsidRDefault="00741AB2" w:rsidP="00741AB2">
      <w:pPr>
        <w:ind w:left="540" w:hanging="540"/>
        <w:rPr>
          <w:szCs w:val="22"/>
        </w:rPr>
      </w:pPr>
    </w:p>
    <w:p w:rsidR="00741AB2" w:rsidRPr="005B33AB" w:rsidRDefault="00741AB2" w:rsidP="00741AB2">
      <w:pPr>
        <w:pStyle w:val="Pagrindinistekstas"/>
        <w:spacing w:after="0"/>
        <w:rPr>
          <w:b/>
        </w:rPr>
      </w:pPr>
      <w:r w:rsidRPr="005B33AB">
        <w:rPr>
          <w:b/>
        </w:rPr>
        <w:t>Dacarbazine Teva sudėtis</w:t>
      </w:r>
    </w:p>
    <w:p w:rsidR="00741AB2" w:rsidRPr="005B33AB" w:rsidRDefault="00741AB2" w:rsidP="00741AB2">
      <w:pPr>
        <w:pStyle w:val="Pagrindinistekstas"/>
        <w:spacing w:after="0"/>
      </w:pPr>
    </w:p>
    <w:p w:rsidR="00741AB2" w:rsidRPr="005B33AB" w:rsidRDefault="00741AB2" w:rsidP="00741AB2">
      <w:pPr>
        <w:suppressAutoHyphens/>
      </w:pPr>
      <w:r w:rsidRPr="005B33AB">
        <w:t>-</w:t>
      </w:r>
      <w:r w:rsidRPr="005B33AB">
        <w:tab/>
        <w:t>Veiklioji medžiaga yra dakarbazinas</w:t>
      </w:r>
      <w:r w:rsidRPr="005B33AB">
        <w:rPr>
          <w:snapToGrid w:val="0"/>
        </w:rPr>
        <w:t>.</w:t>
      </w:r>
      <w:r w:rsidRPr="00420E2E">
        <w:t xml:space="preserve"> </w:t>
      </w:r>
      <w:r>
        <w:t>Kiekviename flakone</w:t>
      </w:r>
      <w:r w:rsidRPr="005B33AB">
        <w:t xml:space="preserve"> yra 100 mg dakarbazino (dakarbazino citrato pavidalu).</w:t>
      </w:r>
    </w:p>
    <w:p w:rsidR="00741AB2" w:rsidRPr="005B33AB" w:rsidRDefault="00741AB2" w:rsidP="00741AB2">
      <w:pPr>
        <w:pStyle w:val="Pagrindinistekstas"/>
        <w:spacing w:after="0"/>
        <w:ind w:left="567" w:hanging="567"/>
      </w:pPr>
    </w:p>
    <w:p w:rsidR="00741AB2" w:rsidRPr="005B33AB" w:rsidRDefault="00741AB2" w:rsidP="00741AB2">
      <w:pPr>
        <w:pStyle w:val="Pagrindinistekstas"/>
        <w:spacing w:after="0"/>
        <w:ind w:left="567" w:hanging="567"/>
      </w:pPr>
      <w:r w:rsidRPr="005B33AB">
        <w:t>-</w:t>
      </w:r>
      <w:r w:rsidRPr="005B33AB">
        <w:tab/>
        <w:t xml:space="preserve">Pagalbinės medžiagos yra bevandenė citrinų rūgštis </w:t>
      </w:r>
      <w:r w:rsidRPr="005B33AB">
        <w:rPr>
          <w:snapToGrid w:val="0"/>
        </w:rPr>
        <w:t>ir manitolis.</w:t>
      </w:r>
    </w:p>
    <w:p w:rsidR="00741AB2" w:rsidRPr="005B33AB" w:rsidRDefault="00741AB2" w:rsidP="00741AB2">
      <w:pPr>
        <w:pStyle w:val="Pagrindinistekstas"/>
        <w:spacing w:after="0"/>
        <w:rPr>
          <w:snapToGrid w:val="0"/>
        </w:rPr>
      </w:pPr>
    </w:p>
    <w:p w:rsidR="00741AB2" w:rsidRPr="005B33AB" w:rsidRDefault="00741AB2" w:rsidP="00741AB2">
      <w:pPr>
        <w:pStyle w:val="Pagrindinistekstas"/>
        <w:spacing w:after="0"/>
      </w:pPr>
      <w:r w:rsidRPr="005B33AB">
        <w:rPr>
          <w:b/>
        </w:rPr>
        <w:t xml:space="preserve">Dacarbazine Teva </w:t>
      </w:r>
      <w:r w:rsidRPr="005B33AB">
        <w:rPr>
          <w:b/>
          <w:szCs w:val="22"/>
        </w:rPr>
        <w:t>išvaizda ir kiekis pakuotėje</w:t>
      </w:r>
    </w:p>
    <w:p w:rsidR="00741AB2" w:rsidRPr="005B33AB" w:rsidRDefault="00741AB2" w:rsidP="00741AB2">
      <w:pPr>
        <w:pStyle w:val="Pagrindinistekstas"/>
        <w:spacing w:after="0"/>
      </w:pPr>
      <w:r w:rsidRPr="005B33AB">
        <w:t xml:space="preserve">Dacarbazine Teva milteliai injekciniam ar infuziniam tirpalui yra balti arba labai blyškiai geltoni. Milteliai supilstyti į rudo stiklo </w:t>
      </w:r>
      <w:r>
        <w:t>flakonus</w:t>
      </w:r>
      <w:r w:rsidRPr="005B33AB">
        <w:t xml:space="preserve">, kuriuose yra 100 mg arba 200 mg dakarbazino </w:t>
      </w:r>
      <w:r w:rsidRPr="005B33AB">
        <w:rPr>
          <w:snapToGrid w:val="0"/>
        </w:rPr>
        <w:t xml:space="preserve">. </w:t>
      </w:r>
    </w:p>
    <w:p w:rsidR="00741AB2" w:rsidRPr="005B33AB" w:rsidRDefault="00741AB2" w:rsidP="00741AB2">
      <w:pPr>
        <w:suppressAutoHyphens/>
        <w:ind w:right="-58"/>
      </w:pPr>
    </w:p>
    <w:p w:rsidR="00741AB2" w:rsidRPr="005B33AB" w:rsidRDefault="00741AB2" w:rsidP="00741AB2">
      <w:pPr>
        <w:pStyle w:val="Pagrindinistekstas"/>
        <w:spacing w:after="0"/>
      </w:pPr>
      <w:r w:rsidRPr="005B33AB">
        <w:t>Pakuotėje yra 1 arba 10</w:t>
      </w:r>
      <w:r>
        <w:t xml:space="preserve"> flakonų</w:t>
      </w:r>
      <w:r w:rsidRPr="005B33AB">
        <w:t>.</w:t>
      </w:r>
    </w:p>
    <w:p w:rsidR="00741AB2" w:rsidRPr="005B33AB" w:rsidRDefault="00741AB2" w:rsidP="00741AB2">
      <w:pPr>
        <w:pStyle w:val="Pagrindinistekstas"/>
        <w:spacing w:after="0"/>
        <w:rPr>
          <w:b/>
        </w:rPr>
      </w:pPr>
    </w:p>
    <w:p w:rsidR="00741AB2" w:rsidRPr="005B33AB" w:rsidRDefault="00741AB2" w:rsidP="00741AB2">
      <w:pPr>
        <w:rPr>
          <w:b/>
          <w:szCs w:val="22"/>
        </w:rPr>
      </w:pPr>
      <w:r w:rsidRPr="00DD09D7">
        <w:rPr>
          <w:b/>
          <w:szCs w:val="22"/>
        </w:rPr>
        <w:t>Registruotojas</w:t>
      </w:r>
      <w:r w:rsidRPr="005B33AB">
        <w:rPr>
          <w:b/>
          <w:szCs w:val="22"/>
        </w:rPr>
        <w:t xml:space="preserve"> ir gamintojas</w:t>
      </w:r>
    </w:p>
    <w:p w:rsidR="00741AB2" w:rsidRPr="005B33AB" w:rsidRDefault="00741AB2" w:rsidP="00741AB2">
      <w:pPr>
        <w:rPr>
          <w:szCs w:val="22"/>
        </w:rPr>
      </w:pPr>
    </w:p>
    <w:p w:rsidR="00741AB2" w:rsidRPr="005B33AB" w:rsidRDefault="00741AB2" w:rsidP="00741AB2">
      <w:pPr>
        <w:rPr>
          <w:szCs w:val="22"/>
          <w:u w:val="single"/>
        </w:rPr>
      </w:pPr>
      <w:r w:rsidRPr="00E0572B">
        <w:rPr>
          <w:i/>
          <w:szCs w:val="22"/>
        </w:rPr>
        <w:t>Registruotojas</w:t>
      </w:r>
    </w:p>
    <w:p w:rsidR="00741AB2" w:rsidRPr="005B33AB" w:rsidRDefault="00741AB2" w:rsidP="00741AB2">
      <w:pPr>
        <w:pStyle w:val="Sraas"/>
        <w:suppressAutoHyphens/>
        <w:ind w:left="0" w:firstLine="0"/>
        <w:outlineLvl w:val="0"/>
        <w:rPr>
          <w:rFonts w:ascii="Times New Roman" w:hAnsi="Times New Roman"/>
          <w:sz w:val="22"/>
          <w:lang w:val="lt-LT"/>
        </w:rPr>
      </w:pPr>
      <w:r w:rsidRPr="005B33AB">
        <w:rPr>
          <w:rFonts w:ascii="Times New Roman" w:hAnsi="Times New Roman"/>
          <w:sz w:val="22"/>
          <w:lang w:val="lt-LT"/>
        </w:rPr>
        <w:t>Teva Pharma B.V.</w:t>
      </w:r>
    </w:p>
    <w:p w:rsidR="00741AB2" w:rsidRDefault="00741AB2" w:rsidP="00741AB2">
      <w:pPr>
        <w:pStyle w:val="Sraas"/>
        <w:suppressAutoHyphens/>
        <w:ind w:left="0" w:firstLine="0"/>
        <w:outlineLvl w:val="0"/>
        <w:rPr>
          <w:rFonts w:ascii="Times New Roman" w:hAnsi="Times New Roman"/>
          <w:sz w:val="22"/>
          <w:lang w:val="lt-LT"/>
        </w:rPr>
      </w:pPr>
      <w:r>
        <w:rPr>
          <w:rFonts w:ascii="Times New Roman" w:hAnsi="Times New Roman"/>
          <w:sz w:val="22"/>
          <w:lang w:val="lt-LT"/>
        </w:rPr>
        <w:t>Swensweg 5</w:t>
      </w:r>
    </w:p>
    <w:p w:rsidR="00741AB2" w:rsidRPr="005B33AB" w:rsidRDefault="00741AB2" w:rsidP="00741AB2">
      <w:pPr>
        <w:pStyle w:val="Sraas"/>
        <w:suppressAutoHyphens/>
        <w:ind w:left="0" w:firstLine="0"/>
        <w:outlineLvl w:val="0"/>
        <w:rPr>
          <w:rFonts w:ascii="Times New Roman" w:hAnsi="Times New Roman"/>
          <w:sz w:val="22"/>
          <w:lang w:val="lt-LT"/>
        </w:rPr>
      </w:pPr>
      <w:r>
        <w:rPr>
          <w:rFonts w:ascii="Times New Roman" w:hAnsi="Times New Roman"/>
          <w:sz w:val="22"/>
          <w:lang w:val="lt-LT"/>
        </w:rPr>
        <w:t>2031 GA Haarlem</w:t>
      </w:r>
    </w:p>
    <w:p w:rsidR="00741AB2" w:rsidRPr="005B33AB" w:rsidRDefault="00741AB2" w:rsidP="00741AB2">
      <w:pPr>
        <w:pStyle w:val="Sraas"/>
        <w:suppressAutoHyphens/>
        <w:ind w:left="0" w:firstLine="0"/>
        <w:outlineLvl w:val="0"/>
        <w:rPr>
          <w:rFonts w:ascii="Times New Roman" w:hAnsi="Times New Roman"/>
          <w:sz w:val="22"/>
          <w:lang w:val="lt-LT"/>
        </w:rPr>
      </w:pPr>
      <w:r w:rsidRPr="005B33AB">
        <w:rPr>
          <w:rFonts w:ascii="Times New Roman" w:hAnsi="Times New Roman"/>
          <w:sz w:val="22"/>
          <w:lang w:val="lt-LT"/>
        </w:rPr>
        <w:t>Nyderlandai</w:t>
      </w:r>
    </w:p>
    <w:p w:rsidR="00741AB2" w:rsidRPr="005B33AB" w:rsidRDefault="00741AB2" w:rsidP="00741AB2">
      <w:pPr>
        <w:rPr>
          <w:snapToGrid w:val="0"/>
        </w:rPr>
      </w:pPr>
    </w:p>
    <w:p w:rsidR="00741AB2" w:rsidRPr="00E0572B" w:rsidRDefault="00741AB2" w:rsidP="00741AB2">
      <w:pPr>
        <w:pStyle w:val="Pagrindinistekstas"/>
        <w:spacing w:after="0"/>
        <w:rPr>
          <w:i/>
        </w:rPr>
      </w:pPr>
      <w:r w:rsidRPr="00E0572B">
        <w:rPr>
          <w:i/>
        </w:rPr>
        <w:t>Gamintojas</w:t>
      </w:r>
    </w:p>
    <w:p w:rsidR="00741AB2" w:rsidRPr="00C94279" w:rsidRDefault="00741AB2" w:rsidP="00741AB2">
      <w:pPr>
        <w:rPr>
          <w:szCs w:val="22"/>
        </w:rPr>
      </w:pPr>
      <w:r w:rsidRPr="00793C8A">
        <w:rPr>
          <w:szCs w:val="22"/>
        </w:rPr>
        <w:t xml:space="preserve">TEVA Pharmaceutical Works Private Limited Company </w:t>
      </w:r>
    </w:p>
    <w:p w:rsidR="00741AB2" w:rsidRPr="00C94279" w:rsidRDefault="00741AB2" w:rsidP="00741AB2">
      <w:pPr>
        <w:rPr>
          <w:szCs w:val="22"/>
        </w:rPr>
      </w:pPr>
      <w:r w:rsidRPr="00793C8A">
        <w:rPr>
          <w:szCs w:val="22"/>
        </w:rPr>
        <w:t xml:space="preserve">Táncsics Mihály út 82 </w:t>
      </w:r>
    </w:p>
    <w:p w:rsidR="00741AB2" w:rsidRPr="00C94279" w:rsidRDefault="00741AB2" w:rsidP="00741AB2">
      <w:pPr>
        <w:rPr>
          <w:szCs w:val="22"/>
        </w:rPr>
      </w:pPr>
      <w:r w:rsidRPr="00793C8A">
        <w:rPr>
          <w:szCs w:val="22"/>
        </w:rPr>
        <w:t xml:space="preserve">2100 Gödöllö </w:t>
      </w:r>
    </w:p>
    <w:p w:rsidR="00741AB2" w:rsidRPr="005B33AB" w:rsidRDefault="00741AB2" w:rsidP="00741AB2">
      <w:pPr>
        <w:pStyle w:val="Pagrindinistekstas"/>
        <w:spacing w:after="0"/>
      </w:pPr>
      <w:r>
        <w:rPr>
          <w:szCs w:val="22"/>
        </w:rPr>
        <w:t>Vengrija</w:t>
      </w:r>
    </w:p>
    <w:p w:rsidR="00741AB2" w:rsidRPr="005B33AB" w:rsidRDefault="00741AB2" w:rsidP="00741AB2">
      <w:pPr>
        <w:pStyle w:val="Pagrindinistekstas"/>
        <w:spacing w:after="0"/>
      </w:pPr>
    </w:p>
    <w:p w:rsidR="00741AB2" w:rsidRPr="005B33AB" w:rsidRDefault="00741AB2" w:rsidP="00741AB2">
      <w:pPr>
        <w:pStyle w:val="Pagrindinistekstas"/>
        <w:spacing w:after="0"/>
      </w:pPr>
      <w:r w:rsidRPr="00DD09D7">
        <w:t>Jeigu apie šį vaistą norite sužinoti daugiau, kreipkitės į vietinį registruotojo atstovą.</w:t>
      </w:r>
    </w:p>
    <w:tbl>
      <w:tblPr>
        <w:tblW w:w="0" w:type="auto"/>
        <w:tblLayout w:type="fixed"/>
        <w:tblLook w:val="0000"/>
      </w:tblPr>
      <w:tblGrid>
        <w:gridCol w:w="4678"/>
      </w:tblGrid>
      <w:tr w:rsidR="00741AB2" w:rsidRPr="005B33AB" w:rsidTr="001378C2">
        <w:tc>
          <w:tcPr>
            <w:tcW w:w="4678" w:type="dxa"/>
          </w:tcPr>
          <w:p w:rsidR="00741AB2" w:rsidRPr="005B33AB" w:rsidRDefault="00741AB2" w:rsidP="001378C2">
            <w:pPr>
              <w:pStyle w:val="Pagrindinistekstas"/>
              <w:spacing w:after="0"/>
            </w:pPr>
            <w:r w:rsidRPr="005B33AB">
              <w:t>UAB “Sicor Biotech“</w:t>
            </w:r>
          </w:p>
          <w:p w:rsidR="00741AB2" w:rsidRDefault="00741AB2" w:rsidP="001378C2">
            <w:pPr>
              <w:pStyle w:val="Pagrindinistekstas"/>
              <w:spacing w:after="0"/>
            </w:pPr>
            <w:r>
              <w:t>Molėtų pl. 5</w:t>
            </w:r>
          </w:p>
          <w:p w:rsidR="00741AB2" w:rsidRPr="005B33AB" w:rsidRDefault="00741AB2" w:rsidP="001378C2">
            <w:pPr>
              <w:pStyle w:val="Pagrindinistekstas"/>
              <w:spacing w:after="0"/>
            </w:pPr>
            <w:r>
              <w:t>LT-08409 Vilnius</w:t>
            </w:r>
          </w:p>
          <w:p w:rsidR="00741AB2" w:rsidRPr="005B33AB" w:rsidRDefault="00741AB2" w:rsidP="001378C2">
            <w:pPr>
              <w:pStyle w:val="Pagrindinistekstas"/>
              <w:spacing w:after="0"/>
            </w:pPr>
            <w:r w:rsidRPr="005B33AB">
              <w:t>Tel: +370 5 266 02 03</w:t>
            </w:r>
          </w:p>
          <w:p w:rsidR="00741AB2" w:rsidRPr="005B33AB" w:rsidRDefault="00741AB2" w:rsidP="001378C2">
            <w:pPr>
              <w:pStyle w:val="Pagrindinistekstas"/>
              <w:spacing w:after="0"/>
            </w:pPr>
          </w:p>
        </w:tc>
      </w:tr>
    </w:tbl>
    <w:p w:rsidR="00741AB2" w:rsidRPr="005B33AB" w:rsidRDefault="00741AB2" w:rsidP="00741AB2">
      <w:pPr>
        <w:pStyle w:val="Pagrindinistekstas"/>
        <w:spacing w:after="0"/>
      </w:pPr>
    </w:p>
    <w:p w:rsidR="00741AB2" w:rsidRPr="005B33AB" w:rsidRDefault="00741AB2" w:rsidP="00741AB2">
      <w:pPr>
        <w:pStyle w:val="Pagrindinistekstas"/>
        <w:spacing w:after="0"/>
      </w:pPr>
    </w:p>
    <w:p w:rsidR="00741AB2" w:rsidRPr="005B33AB" w:rsidRDefault="00741AB2" w:rsidP="00741AB2">
      <w:pPr>
        <w:rPr>
          <w:szCs w:val="22"/>
        </w:rPr>
      </w:pPr>
      <w:r w:rsidRPr="005B33AB">
        <w:rPr>
          <w:b/>
          <w:bCs/>
          <w:szCs w:val="22"/>
        </w:rPr>
        <w:t>Šis pakuotės lapelis</w:t>
      </w:r>
      <w:r w:rsidRPr="005B33AB">
        <w:rPr>
          <w:b/>
          <w:szCs w:val="22"/>
        </w:rPr>
        <w:t xml:space="preserve"> paskutinį kartą </w:t>
      </w:r>
      <w:r w:rsidRPr="00DD09D7">
        <w:rPr>
          <w:b/>
          <w:szCs w:val="22"/>
        </w:rPr>
        <w:t>peržiūrėtas</w:t>
      </w:r>
      <w:r>
        <w:rPr>
          <w:b/>
          <w:szCs w:val="22"/>
        </w:rPr>
        <w:t xml:space="preserve"> 2016-04-04</w:t>
      </w:r>
    </w:p>
    <w:p w:rsidR="00741AB2" w:rsidRDefault="00741AB2" w:rsidP="00741AB2">
      <w:pPr>
        <w:numPr>
          <w:ilvl w:val="12"/>
          <w:numId w:val="0"/>
        </w:numPr>
        <w:ind w:right="-2"/>
      </w:pPr>
    </w:p>
    <w:p w:rsidR="00741AB2" w:rsidRPr="00DD09D7" w:rsidRDefault="00741AB2" w:rsidP="00741AB2">
      <w:pPr>
        <w:numPr>
          <w:ilvl w:val="12"/>
          <w:numId w:val="0"/>
        </w:numPr>
        <w:ind w:right="-2"/>
        <w:rPr>
          <w:snapToGrid w:val="0"/>
          <w:szCs w:val="24"/>
          <w:lang w:eastAsia="en-US"/>
        </w:rPr>
      </w:pPr>
      <w:r w:rsidRPr="00DD09D7">
        <w:rPr>
          <w:snapToGrid w:val="0"/>
          <w:lang w:eastAsia="en-US"/>
        </w:rPr>
        <w:t xml:space="preserve">Išsami informacija apie šį </w:t>
      </w:r>
      <w:r w:rsidRPr="00DD09D7">
        <w:rPr>
          <w:snapToGrid w:val="0"/>
          <w:szCs w:val="24"/>
          <w:lang w:eastAsia="en-US"/>
        </w:rPr>
        <w:t>vaistą</w:t>
      </w:r>
      <w:r w:rsidRPr="00DD09D7">
        <w:rPr>
          <w:snapToGrid w:val="0"/>
          <w:lang w:eastAsia="en-US"/>
        </w:rPr>
        <w:t xml:space="preserve"> pateikiama Valstybinės vaistų kontrolės tarnybos prie Lietuvos Respublikos sveikatos apsaugos ministerijos tinklalapyje</w:t>
      </w:r>
      <w:r w:rsidRPr="00DD09D7">
        <w:rPr>
          <w:i/>
          <w:snapToGrid w:val="0"/>
          <w:szCs w:val="24"/>
          <w:lang w:eastAsia="en-US"/>
        </w:rPr>
        <w:t xml:space="preserve"> </w:t>
      </w:r>
      <w:hyperlink r:id="rId5" w:history="1">
        <w:r w:rsidRPr="00DD09D7">
          <w:rPr>
            <w:rFonts w:eastAsia="SimSun"/>
            <w:snapToGrid w:val="0"/>
            <w:color w:val="0000FF"/>
            <w:u w:val="single"/>
            <w:lang w:eastAsia="en-US"/>
          </w:rPr>
          <w:t>http://www.vvkt.lt/</w:t>
        </w:r>
      </w:hyperlink>
      <w:r w:rsidRPr="00DD09D7">
        <w:rPr>
          <w:snapToGrid w:val="0"/>
          <w:lang w:eastAsia="en-US"/>
        </w:rPr>
        <w:t>.</w:t>
      </w:r>
    </w:p>
    <w:p w:rsidR="00324980" w:rsidRDefault="00324980"/>
    <w:sectPr w:rsidR="00324980" w:rsidSect="0032498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3D4E"/>
    <w:multiLevelType w:val="singleLevel"/>
    <w:tmpl w:val="5638F524"/>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741AB2"/>
    <w:rsid w:val="00324980"/>
    <w:rsid w:val="00741A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AB2"/>
    <w:pPr>
      <w:spacing w:after="0" w:line="240" w:lineRule="auto"/>
    </w:pPr>
    <w:rPr>
      <w:rFonts w:ascii="Times New Roman" w:eastAsia="Times New Roman" w:hAnsi="Times New Roman" w:cs="Times New Roman"/>
      <w:szCs w:val="20"/>
      <w:lang w:eastAsia="lt-LT"/>
    </w:rPr>
  </w:style>
  <w:style w:type="paragraph" w:styleId="Antrat5">
    <w:name w:val="heading 5"/>
    <w:basedOn w:val="prastasis"/>
    <w:next w:val="prastasis"/>
    <w:link w:val="Antrat5Diagrama"/>
    <w:qFormat/>
    <w:rsid w:val="00741AB2"/>
    <w:pPr>
      <w:spacing w:before="120" w:after="60"/>
      <w:outlineLvl w:val="4"/>
    </w:pPr>
    <w:rPr>
      <w:b/>
      <w:bCs/>
      <w:iCs/>
      <w:sz w:val="26"/>
      <w:szCs w:val="26"/>
      <w:lang w:val="en-GB" w:eastAsia="cs-CZ"/>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741AB2"/>
    <w:rPr>
      <w:rFonts w:ascii="Times New Roman" w:eastAsia="Times New Roman" w:hAnsi="Times New Roman" w:cs="Times New Roman"/>
      <w:b/>
      <w:bCs/>
      <w:iCs/>
      <w:sz w:val="26"/>
      <w:szCs w:val="26"/>
      <w:lang w:val="en-GB" w:eastAsia="cs-CZ"/>
    </w:rPr>
  </w:style>
  <w:style w:type="paragraph" w:styleId="Pagrindinistekstas">
    <w:name w:val="Body Text"/>
    <w:basedOn w:val="prastasis"/>
    <w:link w:val="PagrindinistekstasDiagrama"/>
    <w:rsid w:val="00741AB2"/>
    <w:pPr>
      <w:spacing w:after="120"/>
    </w:pPr>
  </w:style>
  <w:style w:type="character" w:customStyle="1" w:styleId="PagrindinistekstasDiagrama">
    <w:name w:val="Pagrindinis tekstas Diagrama"/>
    <w:basedOn w:val="Numatytasispastraiposriftas"/>
    <w:link w:val="Pagrindinistekstas"/>
    <w:rsid w:val="00741AB2"/>
    <w:rPr>
      <w:rFonts w:ascii="Times New Roman" w:eastAsia="Times New Roman" w:hAnsi="Times New Roman" w:cs="Times New Roman"/>
      <w:szCs w:val="20"/>
      <w:lang w:eastAsia="lt-LT"/>
    </w:rPr>
  </w:style>
  <w:style w:type="paragraph" w:styleId="Sraas">
    <w:name w:val="List"/>
    <w:basedOn w:val="prastasis"/>
    <w:rsid w:val="00741AB2"/>
    <w:pPr>
      <w:ind w:left="360" w:hanging="360"/>
    </w:pPr>
    <w:rPr>
      <w:rFonts w:ascii="Arial" w:hAnsi="Arial"/>
      <w:sz w:val="24"/>
      <w:lang w:val="en-GB" w:eastAsia="ja-JP"/>
    </w:rPr>
  </w:style>
  <w:style w:type="paragraph" w:customStyle="1" w:styleId="PSURParagraph2">
    <w:name w:val="PSUR Paragraph 2"/>
    <w:basedOn w:val="prastasis"/>
    <w:link w:val="PSURParagraph2Char"/>
    <w:rsid w:val="00741AB2"/>
    <w:pPr>
      <w:tabs>
        <w:tab w:val="left" w:pos="1559"/>
      </w:tabs>
      <w:ind w:left="1559" w:hanging="1559"/>
      <w:jc w:val="both"/>
    </w:pPr>
    <w:rPr>
      <w:sz w:val="24"/>
      <w:lang w:val="en-GB" w:eastAsia="cs-CZ"/>
    </w:rPr>
  </w:style>
  <w:style w:type="character" w:customStyle="1" w:styleId="PSURParagraph2Char">
    <w:name w:val="PSUR Paragraph 2 Char"/>
    <w:basedOn w:val="Numatytasispastraiposriftas"/>
    <w:link w:val="PSURParagraph2"/>
    <w:rsid w:val="00741AB2"/>
    <w:rPr>
      <w:rFonts w:ascii="Times New Roman" w:eastAsia="Times New Roman" w:hAnsi="Times New Roman" w:cs="Times New Roman"/>
      <w:sz w:val="24"/>
      <w:szCs w:val="20"/>
      <w:lang w:val="en-GB" w:eastAsia="cs-CZ"/>
    </w:rPr>
  </w:style>
  <w:style w:type="paragraph" w:styleId="Porat">
    <w:name w:val="footer"/>
    <w:basedOn w:val="prastasis"/>
    <w:link w:val="PoratDiagrama"/>
    <w:rsid w:val="00741AB2"/>
    <w:pPr>
      <w:tabs>
        <w:tab w:val="center" w:pos="4153"/>
        <w:tab w:val="right" w:pos="8306"/>
      </w:tabs>
    </w:pPr>
  </w:style>
  <w:style w:type="character" w:customStyle="1" w:styleId="PoratDiagrama">
    <w:name w:val="Poraštė Diagrama"/>
    <w:basedOn w:val="Numatytasispastraiposriftas"/>
    <w:link w:val="Porat"/>
    <w:rsid w:val="00741AB2"/>
    <w:rPr>
      <w:rFonts w:ascii="Times New Roman" w:eastAsia="Times New Roman" w:hAnsi="Times New Roman" w:cs="Times New Roman"/>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7172</Words>
  <Characters>4089</Characters>
  <Application>Microsoft Office Word</Application>
  <DocSecurity>0</DocSecurity>
  <Lines>34</Lines>
  <Paragraphs>22</Paragraphs>
  <ScaleCrop>false</ScaleCrop>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2016-10-09T10:50:00Z</dcterms:created>
  <dcterms:modified xsi:type="dcterms:W3CDTF">2016-10-09T10:51:00Z</dcterms:modified>
</cp:coreProperties>
</file>